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825" w:rsidRDefault="004C6825">
      <w:pPr>
        <w:spacing w:line="1" w:lineRule="exact"/>
      </w:pPr>
    </w:p>
    <w:p w:rsidR="004C6825" w:rsidRPr="002E0595" w:rsidRDefault="00A93779" w:rsidP="004062B3">
      <w:pPr>
        <w:pStyle w:val="Teksttreci0"/>
        <w:framePr w:w="9331" w:h="8686" w:hRule="exact" w:wrap="none" w:vAnchor="page" w:hAnchor="page" w:x="1246" w:y="1216"/>
        <w:shd w:val="clear" w:color="auto" w:fill="auto"/>
        <w:spacing w:after="120" w:line="331" w:lineRule="auto"/>
        <w:jc w:val="both"/>
        <w:rPr>
          <w:lang w:val="en-US"/>
        </w:rPr>
      </w:pPr>
      <w:r w:rsidRPr="002E0595">
        <w:rPr>
          <w:lang w:val="en-US"/>
        </w:rPr>
        <w:t xml:space="preserve">Appendix no. 1 to Resolution no. 16/RN/2022 of the Supervisory Board </w:t>
      </w:r>
      <w:r w:rsidR="004062B3">
        <w:rPr>
          <w:lang w:val="en-US"/>
        </w:rPr>
        <w:t>of</w:t>
      </w:r>
      <w:r w:rsidRPr="002E0595">
        <w:rPr>
          <w:lang w:val="en-US"/>
        </w:rPr>
        <w:t xml:space="preserve"> 31 May 2022 </w:t>
      </w:r>
      <w:r w:rsidRPr="002E0595">
        <w:rPr>
          <w:lang w:val="en-US"/>
        </w:rPr>
        <w:br/>
      </w:r>
      <w:r w:rsidRPr="002E0595">
        <w:rPr>
          <w:b/>
          <w:bCs/>
          <w:lang w:val="en-US"/>
        </w:rPr>
        <w:t xml:space="preserve">Report of the Supervisory Board on the results of </w:t>
      </w:r>
      <w:r w:rsidR="004062B3">
        <w:rPr>
          <w:b/>
          <w:bCs/>
          <w:lang w:val="en-US"/>
        </w:rPr>
        <w:t xml:space="preserve">assessment </w:t>
      </w:r>
      <w:r w:rsidRPr="002E0595">
        <w:rPr>
          <w:b/>
          <w:bCs/>
          <w:lang w:val="en-US"/>
        </w:rPr>
        <w:t>of the p</w:t>
      </w:r>
      <w:r w:rsidR="002E0595">
        <w:rPr>
          <w:b/>
          <w:bCs/>
          <w:lang w:val="en-US"/>
        </w:rPr>
        <w:t xml:space="preserve">roposal of the Management Board of TOYA S.A. regarding </w:t>
      </w:r>
      <w:r w:rsidRPr="002E0595">
        <w:rPr>
          <w:b/>
          <w:bCs/>
          <w:lang w:val="en-US"/>
        </w:rPr>
        <w:t>profit distribution shown in the separate financial statements of T</w:t>
      </w:r>
      <w:r w:rsidR="002E0595">
        <w:rPr>
          <w:b/>
          <w:bCs/>
          <w:lang w:val="en-US"/>
        </w:rPr>
        <w:t xml:space="preserve">OYA S.A. for the financial year </w:t>
      </w:r>
      <w:r w:rsidRPr="002E0595">
        <w:rPr>
          <w:b/>
          <w:bCs/>
          <w:lang w:val="en-US"/>
        </w:rPr>
        <w:t>ended 31 December 2021.</w:t>
      </w:r>
    </w:p>
    <w:p w:rsidR="004C6825" w:rsidRPr="002E0595" w:rsidRDefault="00A93779" w:rsidP="004062B3">
      <w:pPr>
        <w:pStyle w:val="Teksttreci0"/>
        <w:framePr w:w="9331" w:h="8686" w:hRule="exact" w:wrap="none" w:vAnchor="page" w:hAnchor="page" w:x="1246" w:y="1216"/>
        <w:shd w:val="clear" w:color="auto" w:fill="auto"/>
        <w:spacing w:after="200"/>
        <w:jc w:val="both"/>
        <w:rPr>
          <w:lang w:val="en-US"/>
        </w:rPr>
      </w:pPr>
      <w:r w:rsidRPr="002E0595">
        <w:rPr>
          <w:lang w:val="en-US"/>
        </w:rPr>
        <w:t xml:space="preserve">The Supervisory Board acting pursuant to </w:t>
      </w:r>
      <w:r w:rsidR="00EC1168">
        <w:rPr>
          <w:lang w:val="en-US"/>
        </w:rPr>
        <w:t>A</w:t>
      </w:r>
      <w:r w:rsidRPr="002E0595">
        <w:rPr>
          <w:lang w:val="en-US"/>
        </w:rPr>
        <w:t xml:space="preserve">rt. 382 § 3 </w:t>
      </w:r>
      <w:r w:rsidR="00EC1168">
        <w:rPr>
          <w:lang w:val="en-US"/>
        </w:rPr>
        <w:t>of the Act of 15 September 2000 –</w:t>
      </w:r>
      <w:r w:rsidRPr="002E0595">
        <w:rPr>
          <w:lang w:val="en-US"/>
        </w:rPr>
        <w:t xml:space="preserve"> Code of</w:t>
      </w:r>
      <w:r w:rsidR="002E0595">
        <w:rPr>
          <w:lang w:val="en-US"/>
        </w:rPr>
        <w:t xml:space="preserve"> </w:t>
      </w:r>
      <w:r w:rsidRPr="002E0595">
        <w:rPr>
          <w:lang w:val="en-US"/>
        </w:rPr>
        <w:t>Commercial</w:t>
      </w:r>
      <w:r w:rsidR="002E0595">
        <w:rPr>
          <w:lang w:val="en-US"/>
        </w:rPr>
        <w:t xml:space="preserve"> Companies</w:t>
      </w:r>
      <w:r w:rsidR="00EC1168">
        <w:rPr>
          <w:lang w:val="en-US"/>
        </w:rPr>
        <w:t xml:space="preserve"> and Partnerships</w:t>
      </w:r>
      <w:r w:rsidR="002E0595">
        <w:rPr>
          <w:lang w:val="en-US"/>
        </w:rPr>
        <w:t xml:space="preserve"> </w:t>
      </w:r>
      <w:r w:rsidRPr="002E0595">
        <w:rPr>
          <w:lang w:val="en-US"/>
        </w:rPr>
        <w:t>(Journal of Laws of</w:t>
      </w:r>
      <w:r w:rsidRPr="002E0595">
        <w:rPr>
          <w:lang w:val="en-US"/>
        </w:rPr>
        <w:t xml:space="preserve"> 2020, item 1526 as amended), hereby </w:t>
      </w:r>
      <w:r w:rsidR="00EC1168">
        <w:rPr>
          <w:lang w:val="en-US"/>
        </w:rPr>
        <w:t>assesses</w:t>
      </w:r>
      <w:r w:rsidRPr="002E0595">
        <w:rPr>
          <w:lang w:val="en-US"/>
        </w:rPr>
        <w:t xml:space="preserve"> the proposal of the </w:t>
      </w:r>
      <w:r w:rsidR="002E0595">
        <w:rPr>
          <w:lang w:val="en-US"/>
        </w:rPr>
        <w:t xml:space="preserve">Management Board of the company </w:t>
      </w:r>
      <w:r w:rsidRPr="002E0595">
        <w:rPr>
          <w:lang w:val="en-US"/>
        </w:rPr>
        <w:t xml:space="preserve">under the business name </w:t>
      </w:r>
      <w:r w:rsidR="00EC1168">
        <w:rPr>
          <w:lang w:val="en-US"/>
        </w:rPr>
        <w:t xml:space="preserve">of </w:t>
      </w:r>
      <w:r w:rsidRPr="002E0595">
        <w:rPr>
          <w:lang w:val="en-US"/>
        </w:rPr>
        <w:t xml:space="preserve">TOYA S.A. regarding the distribution of profit </w:t>
      </w:r>
      <w:r w:rsidR="00EC1168">
        <w:rPr>
          <w:lang w:val="en-US"/>
        </w:rPr>
        <w:t xml:space="preserve">recognized </w:t>
      </w:r>
      <w:r w:rsidRPr="002E0595">
        <w:rPr>
          <w:lang w:val="en-US"/>
        </w:rPr>
        <w:t>in th</w:t>
      </w:r>
      <w:r w:rsidR="002E0595">
        <w:rPr>
          <w:lang w:val="en-US"/>
        </w:rPr>
        <w:t xml:space="preserve">e </w:t>
      </w:r>
      <w:r w:rsidR="00EC1168">
        <w:rPr>
          <w:lang w:val="en-US"/>
        </w:rPr>
        <w:t>standalone</w:t>
      </w:r>
      <w:r w:rsidR="002E0595">
        <w:rPr>
          <w:lang w:val="en-US"/>
        </w:rPr>
        <w:t xml:space="preserve"> financial statements </w:t>
      </w:r>
      <w:r w:rsidRPr="002E0595">
        <w:rPr>
          <w:lang w:val="en-US"/>
        </w:rPr>
        <w:t>of TOYA S.A. for the financial year ended</w:t>
      </w:r>
      <w:r w:rsidR="00EC1168">
        <w:rPr>
          <w:lang w:val="en-US"/>
        </w:rPr>
        <w:t xml:space="preserve"> on</w:t>
      </w:r>
      <w:r w:rsidRPr="002E0595">
        <w:rPr>
          <w:lang w:val="en-US"/>
        </w:rPr>
        <w:t xml:space="preserve"> 3</w:t>
      </w:r>
      <w:r w:rsidRPr="002E0595">
        <w:rPr>
          <w:lang w:val="en-US"/>
        </w:rPr>
        <w:t>1 December 2021</w:t>
      </w:r>
      <w:r w:rsidR="00EC1168">
        <w:rPr>
          <w:lang w:val="en-US"/>
        </w:rPr>
        <w:t>.</w:t>
      </w:r>
    </w:p>
    <w:p w:rsidR="004C6825" w:rsidRPr="002E0595" w:rsidRDefault="00A93779" w:rsidP="004062B3">
      <w:pPr>
        <w:pStyle w:val="Teksttreci0"/>
        <w:framePr w:w="9331" w:h="8686" w:hRule="exact" w:wrap="none" w:vAnchor="page" w:hAnchor="page" w:x="1246" w:y="1216"/>
        <w:shd w:val="clear" w:color="auto" w:fill="auto"/>
        <w:spacing w:after="200"/>
        <w:jc w:val="both"/>
        <w:rPr>
          <w:lang w:val="en-US"/>
        </w:rPr>
      </w:pPr>
      <w:r w:rsidRPr="002E0595">
        <w:rPr>
          <w:lang w:val="en-US"/>
        </w:rPr>
        <w:t xml:space="preserve">Within the framework of this </w:t>
      </w:r>
      <w:r w:rsidR="00EC1168">
        <w:rPr>
          <w:lang w:val="en-US"/>
        </w:rPr>
        <w:t>assessment</w:t>
      </w:r>
      <w:r w:rsidRPr="002E0595">
        <w:rPr>
          <w:lang w:val="en-US"/>
        </w:rPr>
        <w:t>, the Supervisory Board positively assesses:</w:t>
      </w:r>
    </w:p>
    <w:p w:rsidR="004C6825" w:rsidRPr="002E0595" w:rsidRDefault="00826C4A" w:rsidP="004062B3">
      <w:pPr>
        <w:pStyle w:val="Teksttreci0"/>
        <w:framePr w:w="9331" w:h="8686" w:hRule="exact" w:wrap="none" w:vAnchor="page" w:hAnchor="page" w:x="1246" w:y="1216"/>
        <w:numPr>
          <w:ilvl w:val="0"/>
          <w:numId w:val="4"/>
        </w:numPr>
        <w:shd w:val="clear" w:color="auto" w:fill="auto"/>
        <w:ind w:left="284" w:hanging="284"/>
        <w:jc w:val="both"/>
        <w:rPr>
          <w:lang w:val="en-US"/>
        </w:rPr>
      </w:pPr>
      <w:r>
        <w:rPr>
          <w:lang w:val="en-US"/>
        </w:rPr>
        <w:t>t</w:t>
      </w:r>
      <w:r w:rsidR="00EC1168">
        <w:rPr>
          <w:lang w:val="en-US"/>
        </w:rPr>
        <w:t xml:space="preserve">he </w:t>
      </w:r>
      <w:r w:rsidR="00A93779" w:rsidRPr="002E0595">
        <w:rPr>
          <w:lang w:val="en-US"/>
        </w:rPr>
        <w:t>proposal of the Management Board concerning distribution of profit in the amount of PLN 63</w:t>
      </w:r>
      <w:r w:rsidR="002E0595">
        <w:rPr>
          <w:lang w:val="en-US"/>
        </w:rPr>
        <w:t> </w:t>
      </w:r>
      <w:r w:rsidR="00A93779" w:rsidRPr="002E0595">
        <w:rPr>
          <w:lang w:val="en-US"/>
        </w:rPr>
        <w:t>24</w:t>
      </w:r>
      <w:r w:rsidR="002E0595">
        <w:rPr>
          <w:lang w:val="en-US"/>
        </w:rPr>
        <w:t>2 823.69 (</w:t>
      </w:r>
      <w:r>
        <w:rPr>
          <w:lang w:val="en-US"/>
        </w:rPr>
        <w:t>say</w:t>
      </w:r>
      <w:r w:rsidR="002E0595">
        <w:rPr>
          <w:lang w:val="en-US"/>
        </w:rPr>
        <w:t xml:space="preserve">: sixty three </w:t>
      </w:r>
      <w:r>
        <w:rPr>
          <w:lang w:val="en-US"/>
        </w:rPr>
        <w:t>million two hundred forty-</w:t>
      </w:r>
      <w:r w:rsidR="00A93779" w:rsidRPr="002E0595">
        <w:rPr>
          <w:lang w:val="en-US"/>
        </w:rPr>
        <w:t>tw</w:t>
      </w:r>
      <w:r w:rsidR="00A93779" w:rsidRPr="002E0595">
        <w:rPr>
          <w:lang w:val="en-US"/>
        </w:rPr>
        <w:t>o thousand eight hundred twenty</w:t>
      </w:r>
      <w:r>
        <w:rPr>
          <w:lang w:val="en-US"/>
        </w:rPr>
        <w:t>-</w:t>
      </w:r>
      <w:r w:rsidR="002E0595">
        <w:rPr>
          <w:lang w:val="en-US"/>
        </w:rPr>
        <w:t>three 69/100</w:t>
      </w:r>
      <w:r>
        <w:rPr>
          <w:lang w:val="en-US"/>
        </w:rPr>
        <w:t xml:space="preserve"> Zloty</w:t>
      </w:r>
      <w:r w:rsidR="002E0595">
        <w:rPr>
          <w:lang w:val="en-US"/>
        </w:rPr>
        <w:t xml:space="preserve">) in the following </w:t>
      </w:r>
      <w:r w:rsidR="00A93779" w:rsidRPr="002E0595">
        <w:rPr>
          <w:lang w:val="en-US"/>
        </w:rPr>
        <w:t>manner</w:t>
      </w:r>
      <w:r>
        <w:rPr>
          <w:lang w:val="en-US"/>
        </w:rPr>
        <w:t>:</w:t>
      </w:r>
    </w:p>
    <w:p w:rsidR="004C6825" w:rsidRPr="002E0595" w:rsidRDefault="00826C4A" w:rsidP="004062B3">
      <w:pPr>
        <w:pStyle w:val="Teksttreci0"/>
        <w:framePr w:w="9331" w:h="8686" w:hRule="exact" w:wrap="none" w:vAnchor="page" w:hAnchor="page" w:x="1246" w:y="1216"/>
        <w:numPr>
          <w:ilvl w:val="0"/>
          <w:numId w:val="3"/>
        </w:numPr>
        <w:shd w:val="clear" w:color="auto" w:fill="auto"/>
        <w:spacing w:line="240" w:lineRule="auto"/>
        <w:ind w:left="284" w:hanging="284"/>
        <w:jc w:val="both"/>
        <w:rPr>
          <w:lang w:val="en-US"/>
        </w:rPr>
      </w:pPr>
      <w:r>
        <w:rPr>
          <w:lang w:val="en-US"/>
        </w:rPr>
        <w:t xml:space="preserve">the </w:t>
      </w:r>
      <w:r w:rsidR="00A93779" w:rsidRPr="002E0595">
        <w:rPr>
          <w:lang w:val="en-US"/>
        </w:rPr>
        <w:t>allocat</w:t>
      </w:r>
      <w:r>
        <w:rPr>
          <w:lang w:val="en-US"/>
        </w:rPr>
        <w:t>ion of the amount of PLN 24 </w:t>
      </w:r>
      <w:r w:rsidR="00A93779" w:rsidRPr="002E0595">
        <w:rPr>
          <w:lang w:val="en-US"/>
        </w:rPr>
        <w:t>763</w:t>
      </w:r>
      <w:r>
        <w:rPr>
          <w:lang w:val="en-US"/>
        </w:rPr>
        <w:t xml:space="preserve"> </w:t>
      </w:r>
      <w:r w:rsidR="00A93779" w:rsidRPr="002E0595">
        <w:rPr>
          <w:lang w:val="en-US"/>
        </w:rPr>
        <w:t>934.58 (say: twenty</w:t>
      </w:r>
      <w:r>
        <w:rPr>
          <w:lang w:val="en-US"/>
        </w:rPr>
        <w:t xml:space="preserve">-four million seven hundred </w:t>
      </w:r>
      <w:r w:rsidR="00A93779" w:rsidRPr="002E0595">
        <w:rPr>
          <w:lang w:val="en-US"/>
        </w:rPr>
        <w:t>sixty</w:t>
      </w:r>
      <w:r>
        <w:rPr>
          <w:lang w:val="en-US"/>
        </w:rPr>
        <w:t>-</w:t>
      </w:r>
      <w:r w:rsidR="00A93779" w:rsidRPr="002E0595">
        <w:rPr>
          <w:lang w:val="en-US"/>
        </w:rPr>
        <w:t xml:space="preserve">three thousand nine hundred </w:t>
      </w:r>
      <w:r w:rsidR="00A93779" w:rsidRPr="002E0595">
        <w:rPr>
          <w:lang w:val="en-US"/>
        </w:rPr>
        <w:t>thirty-four 58/100</w:t>
      </w:r>
      <w:r>
        <w:rPr>
          <w:lang w:val="en-US"/>
        </w:rPr>
        <w:t xml:space="preserve"> Zloty</w:t>
      </w:r>
      <w:r w:rsidR="00A93779" w:rsidRPr="002E0595">
        <w:rPr>
          <w:lang w:val="en-US"/>
        </w:rPr>
        <w:t>) for the payment of dividends to the Comp</w:t>
      </w:r>
      <w:r w:rsidR="002E0595">
        <w:rPr>
          <w:lang w:val="en-US"/>
        </w:rPr>
        <w:t>any's Shareholders,</w:t>
      </w:r>
      <w:r>
        <w:rPr>
          <w:lang w:val="en-US"/>
        </w:rPr>
        <w:t xml:space="preserve"> which forms PLN 0.33 (thirty-three Polish grosz</w:t>
      </w:r>
      <w:r w:rsidR="00A93779" w:rsidRPr="002E0595">
        <w:rPr>
          <w:lang w:val="en-US"/>
        </w:rPr>
        <w:t>) per share;</w:t>
      </w:r>
    </w:p>
    <w:p w:rsidR="004062B3" w:rsidRDefault="00826C4A" w:rsidP="004062B3">
      <w:pPr>
        <w:pStyle w:val="Teksttreci0"/>
        <w:framePr w:w="9331" w:h="8686" w:hRule="exact" w:wrap="none" w:vAnchor="page" w:hAnchor="page" w:x="1246" w:y="1216"/>
        <w:numPr>
          <w:ilvl w:val="0"/>
          <w:numId w:val="3"/>
        </w:numPr>
        <w:shd w:val="clear" w:color="auto" w:fill="auto"/>
        <w:spacing w:after="260" w:line="240" w:lineRule="auto"/>
        <w:ind w:left="284" w:hanging="284"/>
        <w:jc w:val="both"/>
        <w:rPr>
          <w:lang w:val="en-US"/>
        </w:rPr>
      </w:pPr>
      <w:r>
        <w:rPr>
          <w:lang w:val="en-US"/>
        </w:rPr>
        <w:t xml:space="preserve">the </w:t>
      </w:r>
      <w:r w:rsidRPr="002E0595">
        <w:rPr>
          <w:lang w:val="en-US"/>
        </w:rPr>
        <w:t>allocat</w:t>
      </w:r>
      <w:r>
        <w:rPr>
          <w:lang w:val="en-US"/>
        </w:rPr>
        <w:t>ion</w:t>
      </w:r>
      <w:r>
        <w:rPr>
          <w:lang w:val="en-US"/>
        </w:rPr>
        <w:t xml:space="preserve"> of the remaining amount of PLN 38 </w:t>
      </w:r>
      <w:r w:rsidR="00A93779" w:rsidRPr="002E0595">
        <w:rPr>
          <w:lang w:val="en-US"/>
        </w:rPr>
        <w:t>478</w:t>
      </w:r>
      <w:r>
        <w:rPr>
          <w:lang w:val="en-US"/>
        </w:rPr>
        <w:t xml:space="preserve"> </w:t>
      </w:r>
      <w:r w:rsidR="00A93779" w:rsidRPr="002E0595">
        <w:rPr>
          <w:lang w:val="en-US"/>
        </w:rPr>
        <w:t>889.11 (</w:t>
      </w:r>
      <w:r>
        <w:rPr>
          <w:lang w:val="en-US"/>
        </w:rPr>
        <w:t>say</w:t>
      </w:r>
      <w:r w:rsidR="00A93779" w:rsidRPr="002E0595">
        <w:rPr>
          <w:lang w:val="en-US"/>
        </w:rPr>
        <w:t>: thirty-eight million four</w:t>
      </w:r>
      <w:r w:rsidR="002E0595">
        <w:rPr>
          <w:lang w:val="en-US"/>
        </w:rPr>
        <w:t xml:space="preserve"> hundred </w:t>
      </w:r>
      <w:r w:rsidR="00A93779" w:rsidRPr="002E0595">
        <w:rPr>
          <w:lang w:val="en-US"/>
        </w:rPr>
        <w:t>seventy</w:t>
      </w:r>
      <w:r>
        <w:rPr>
          <w:lang w:val="en-US"/>
        </w:rPr>
        <w:t>-eight thousand eight hundred eighty-nine 11/100 Zloty</w:t>
      </w:r>
      <w:r w:rsidR="00A93779" w:rsidRPr="002E0595">
        <w:rPr>
          <w:lang w:val="en-US"/>
        </w:rPr>
        <w:t>) to the supplement</w:t>
      </w:r>
      <w:r w:rsidR="00A93779" w:rsidRPr="002E0595">
        <w:rPr>
          <w:lang w:val="en-US"/>
        </w:rPr>
        <w:t>ary capital</w:t>
      </w:r>
    </w:p>
    <w:p w:rsidR="002E0595" w:rsidRPr="004062B3" w:rsidRDefault="00826C4A" w:rsidP="004062B3">
      <w:pPr>
        <w:pStyle w:val="Teksttreci0"/>
        <w:framePr w:w="9331" w:h="8686" w:hRule="exact" w:wrap="none" w:vAnchor="page" w:hAnchor="page" w:x="1246" w:y="1216"/>
        <w:numPr>
          <w:ilvl w:val="0"/>
          <w:numId w:val="4"/>
        </w:numPr>
        <w:shd w:val="clear" w:color="auto" w:fill="auto"/>
        <w:spacing w:after="260" w:line="240" w:lineRule="auto"/>
        <w:ind w:left="284" w:hanging="284"/>
        <w:jc w:val="both"/>
        <w:rPr>
          <w:lang w:val="en-US"/>
        </w:rPr>
      </w:pPr>
      <w:r>
        <w:rPr>
          <w:lang w:val="en-US"/>
        </w:rPr>
        <w:t>the proposed dividend date as at</w:t>
      </w:r>
      <w:r w:rsidR="00A93779" w:rsidRPr="004062B3">
        <w:rPr>
          <w:lang w:val="en-US"/>
        </w:rPr>
        <w:t xml:space="preserve"> 27 September 2022 and a dividend payment date </w:t>
      </w:r>
      <w:r>
        <w:rPr>
          <w:lang w:val="en-US"/>
        </w:rPr>
        <w:t>as at</w:t>
      </w:r>
      <w:r w:rsidR="00A93779" w:rsidRPr="004062B3">
        <w:rPr>
          <w:lang w:val="en-US"/>
        </w:rPr>
        <w:br/>
      </w:r>
      <w:r w:rsidR="00A93779" w:rsidRPr="004062B3">
        <w:rPr>
          <w:lang w:val="en-US"/>
        </w:rPr>
        <w:t>10 October 2022</w:t>
      </w:r>
      <w:r>
        <w:rPr>
          <w:lang w:val="en-US"/>
        </w:rPr>
        <w:t>.</w:t>
      </w:r>
    </w:p>
    <w:p w:rsidR="004C6825" w:rsidRPr="002E0595" w:rsidRDefault="00455E66" w:rsidP="004062B3">
      <w:pPr>
        <w:pStyle w:val="Teksttreci0"/>
        <w:framePr w:w="9331" w:h="8686" w:hRule="exact" w:wrap="none" w:vAnchor="page" w:hAnchor="page" w:x="1246" w:y="1216"/>
        <w:shd w:val="clear" w:color="auto" w:fill="auto"/>
        <w:spacing w:after="700" w:line="276" w:lineRule="auto"/>
        <w:jc w:val="both"/>
        <w:rPr>
          <w:lang w:val="en-US"/>
        </w:rPr>
      </w:pPr>
      <w:r>
        <w:rPr>
          <w:lang w:val="en-US"/>
        </w:rPr>
        <w:t>Taking into account the aforementioned</w:t>
      </w:r>
      <w:r w:rsidR="00A93779" w:rsidRPr="002E0595">
        <w:rPr>
          <w:lang w:val="en-US"/>
        </w:rPr>
        <w:t>, th</w:t>
      </w:r>
      <w:r>
        <w:rPr>
          <w:lang w:val="en-US"/>
        </w:rPr>
        <w:t xml:space="preserve">e Supervisory Board recommends </w:t>
      </w:r>
      <w:r w:rsidR="00A93779" w:rsidRPr="002E0595">
        <w:rPr>
          <w:lang w:val="en-US"/>
        </w:rPr>
        <w:t xml:space="preserve">the </w:t>
      </w:r>
      <w:r>
        <w:rPr>
          <w:lang w:val="en-US"/>
        </w:rPr>
        <w:t>Annual General Meeting to distribute the</w:t>
      </w:r>
      <w:r w:rsidR="00A93779" w:rsidRPr="002E0595">
        <w:rPr>
          <w:lang w:val="en-US"/>
        </w:rPr>
        <w:t xml:space="preserve"> </w:t>
      </w:r>
      <w:r w:rsidR="00A93779" w:rsidRPr="002E0595">
        <w:rPr>
          <w:lang w:val="en-US"/>
        </w:rPr>
        <w:t>profit of TOYA S.A. in the manner specified in the proposal of the Management Board</w:t>
      </w:r>
      <w:r>
        <w:rPr>
          <w:lang w:val="en-US"/>
        </w:rPr>
        <w:t>.</w:t>
      </w:r>
      <w:bookmarkStart w:id="0" w:name="_GoBack"/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8"/>
        <w:gridCol w:w="3187"/>
        <w:gridCol w:w="2242"/>
      </w:tblGrid>
      <w:tr w:rsidR="004C6825">
        <w:tblPrEx>
          <w:tblCellMar>
            <w:top w:w="0" w:type="dxa"/>
            <w:bottom w:w="0" w:type="dxa"/>
          </w:tblCellMar>
        </w:tblPrEx>
        <w:trPr>
          <w:trHeight w:hRule="exact" w:val="2040"/>
        </w:trPr>
        <w:tc>
          <w:tcPr>
            <w:tcW w:w="2318" w:type="dxa"/>
            <w:tcBorders>
              <w:top w:val="single" w:sz="4" w:space="0" w:color="auto"/>
            </w:tcBorders>
            <w:shd w:val="clear" w:color="auto" w:fill="FFFFFF"/>
          </w:tcPr>
          <w:p w:rsidR="004C6825" w:rsidRDefault="00A93779">
            <w:pPr>
              <w:pStyle w:val="Inne0"/>
              <w:framePr w:w="7747" w:h="4589" w:wrap="none" w:vAnchor="page" w:hAnchor="page" w:x="2079" w:y="9940"/>
              <w:shd w:val="clear" w:color="auto" w:fill="auto"/>
              <w:spacing w:before="260" w:line="240" w:lineRule="auto"/>
            </w:pPr>
            <w:r>
              <w:t>Piotr Mondalski</w:t>
            </w:r>
          </w:p>
        </w:tc>
        <w:tc>
          <w:tcPr>
            <w:tcW w:w="3187" w:type="dxa"/>
            <w:tcBorders>
              <w:top w:val="single" w:sz="4" w:space="0" w:color="auto"/>
            </w:tcBorders>
            <w:shd w:val="clear" w:color="auto" w:fill="FFFFFF"/>
          </w:tcPr>
          <w:p w:rsidR="004C6825" w:rsidRDefault="00A93779">
            <w:pPr>
              <w:pStyle w:val="Inne0"/>
              <w:framePr w:w="7747" w:h="4589" w:wrap="none" w:vAnchor="page" w:hAnchor="page" w:x="2079" w:y="9940"/>
              <w:shd w:val="clear" w:color="auto" w:fill="auto"/>
              <w:spacing w:before="260" w:line="240" w:lineRule="auto"/>
              <w:jc w:val="center"/>
            </w:pPr>
            <w:r>
              <w:t>Jan Szmidt</w:t>
            </w:r>
          </w:p>
        </w:tc>
        <w:tc>
          <w:tcPr>
            <w:tcW w:w="2242" w:type="dxa"/>
            <w:tcBorders>
              <w:top w:val="single" w:sz="4" w:space="0" w:color="auto"/>
            </w:tcBorders>
            <w:shd w:val="clear" w:color="auto" w:fill="FFFFFF"/>
          </w:tcPr>
          <w:p w:rsidR="004C6825" w:rsidRDefault="00A93779">
            <w:pPr>
              <w:pStyle w:val="Inne0"/>
              <w:framePr w:w="7747" w:h="4589" w:wrap="none" w:vAnchor="page" w:hAnchor="page" w:x="2079" w:y="9940"/>
              <w:shd w:val="clear" w:color="auto" w:fill="auto"/>
              <w:spacing w:before="260" w:line="240" w:lineRule="auto"/>
              <w:jc w:val="center"/>
            </w:pPr>
            <w:r>
              <w:t>Beta Szmidt</w:t>
            </w:r>
          </w:p>
        </w:tc>
      </w:tr>
      <w:tr w:rsidR="004C6825">
        <w:tblPrEx>
          <w:tblCellMar>
            <w:top w:w="0" w:type="dxa"/>
            <w:bottom w:w="0" w:type="dxa"/>
          </w:tblCellMar>
        </w:tblPrEx>
        <w:trPr>
          <w:trHeight w:hRule="exact" w:val="2035"/>
        </w:trPr>
        <w:tc>
          <w:tcPr>
            <w:tcW w:w="2318" w:type="dxa"/>
            <w:tcBorders>
              <w:top w:val="single" w:sz="4" w:space="0" w:color="auto"/>
            </w:tcBorders>
            <w:shd w:val="clear" w:color="auto" w:fill="FFFFFF"/>
          </w:tcPr>
          <w:p w:rsidR="004C6825" w:rsidRDefault="00A93779">
            <w:pPr>
              <w:pStyle w:val="Inne0"/>
              <w:framePr w:w="7747" w:h="4589" w:wrap="none" w:vAnchor="page" w:hAnchor="page" w:x="2079" w:y="9940"/>
              <w:shd w:val="clear" w:color="auto" w:fill="auto"/>
              <w:spacing w:before="260" w:line="240" w:lineRule="auto"/>
            </w:pPr>
            <w:r>
              <w:t>Grzegorz Maciąg</w:t>
            </w:r>
          </w:p>
        </w:tc>
        <w:tc>
          <w:tcPr>
            <w:tcW w:w="3187" w:type="dxa"/>
            <w:tcBorders>
              <w:top w:val="single" w:sz="4" w:space="0" w:color="auto"/>
            </w:tcBorders>
            <w:shd w:val="clear" w:color="auto" w:fill="FFFFFF"/>
          </w:tcPr>
          <w:p w:rsidR="004C6825" w:rsidRDefault="00A93779">
            <w:pPr>
              <w:pStyle w:val="Inne0"/>
              <w:framePr w:w="7747" w:h="4589" w:wrap="none" w:vAnchor="page" w:hAnchor="page" w:x="2079" w:y="9940"/>
              <w:shd w:val="clear" w:color="auto" w:fill="auto"/>
              <w:spacing w:before="260" w:line="240" w:lineRule="auto"/>
              <w:jc w:val="center"/>
            </w:pPr>
            <w:r>
              <w:t>Wojciech Papierak</w:t>
            </w:r>
          </w:p>
        </w:tc>
        <w:tc>
          <w:tcPr>
            <w:tcW w:w="2242" w:type="dxa"/>
            <w:tcBorders>
              <w:top w:val="single" w:sz="4" w:space="0" w:color="auto"/>
            </w:tcBorders>
            <w:shd w:val="clear" w:color="auto" w:fill="FFFFFF"/>
          </w:tcPr>
          <w:p w:rsidR="004C6825" w:rsidRDefault="00A93779">
            <w:pPr>
              <w:pStyle w:val="Inne0"/>
              <w:framePr w:w="7747" w:h="4589" w:wrap="none" w:vAnchor="page" w:hAnchor="page" w:x="2079" w:y="9940"/>
              <w:shd w:val="clear" w:color="auto" w:fill="auto"/>
              <w:spacing w:before="260" w:line="240" w:lineRule="auto"/>
              <w:ind w:firstLine="760"/>
            </w:pPr>
            <w:r>
              <w:t>Michał Kobus</w:t>
            </w:r>
          </w:p>
        </w:tc>
      </w:tr>
      <w:tr w:rsidR="004C6825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23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C6825" w:rsidRDefault="00A93779">
            <w:pPr>
              <w:pStyle w:val="Inne0"/>
              <w:framePr w:w="7747" w:h="4589" w:wrap="none" w:vAnchor="page" w:hAnchor="page" w:x="2079" w:y="9940"/>
              <w:shd w:val="clear" w:color="auto" w:fill="auto"/>
              <w:spacing w:line="240" w:lineRule="auto"/>
              <w:ind w:firstLine="200"/>
            </w:pPr>
            <w:r>
              <w:t>Dariusz Górka</w:t>
            </w:r>
          </w:p>
        </w:tc>
        <w:tc>
          <w:tcPr>
            <w:tcW w:w="3187" w:type="dxa"/>
            <w:shd w:val="clear" w:color="auto" w:fill="FFFFFF"/>
          </w:tcPr>
          <w:p w:rsidR="004C6825" w:rsidRDefault="004C6825">
            <w:pPr>
              <w:framePr w:w="7747" w:h="4589" w:wrap="none" w:vAnchor="page" w:hAnchor="page" w:x="2079" w:y="9940"/>
              <w:rPr>
                <w:sz w:val="10"/>
                <w:szCs w:val="10"/>
              </w:rPr>
            </w:pPr>
          </w:p>
        </w:tc>
        <w:tc>
          <w:tcPr>
            <w:tcW w:w="2242" w:type="dxa"/>
            <w:shd w:val="clear" w:color="auto" w:fill="FFFFFF"/>
          </w:tcPr>
          <w:p w:rsidR="004C6825" w:rsidRDefault="004C6825">
            <w:pPr>
              <w:framePr w:w="7747" w:h="4589" w:wrap="none" w:vAnchor="page" w:hAnchor="page" w:x="2079" w:y="9940"/>
              <w:rPr>
                <w:sz w:val="10"/>
                <w:szCs w:val="10"/>
              </w:rPr>
            </w:pPr>
          </w:p>
        </w:tc>
      </w:tr>
    </w:tbl>
    <w:p w:rsidR="004C6825" w:rsidRDefault="004C6825">
      <w:pPr>
        <w:spacing w:line="1" w:lineRule="exact"/>
      </w:pPr>
    </w:p>
    <w:sectPr w:rsidR="004C6825">
      <w:pgSz w:w="11909" w:h="1683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779" w:rsidRDefault="00A93779">
      <w:r>
        <w:separator/>
      </w:r>
    </w:p>
  </w:endnote>
  <w:endnote w:type="continuationSeparator" w:id="0">
    <w:p w:rsidR="00A93779" w:rsidRDefault="00A9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779" w:rsidRDefault="00A93779"/>
  </w:footnote>
  <w:footnote w:type="continuationSeparator" w:id="0">
    <w:p w:rsidR="00A93779" w:rsidRDefault="00A9377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46764"/>
    <w:multiLevelType w:val="hybridMultilevel"/>
    <w:tmpl w:val="4D9A85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32AC6"/>
    <w:multiLevelType w:val="hybridMultilevel"/>
    <w:tmpl w:val="6E08B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479AC"/>
    <w:multiLevelType w:val="hybridMultilevel"/>
    <w:tmpl w:val="E9E46C40"/>
    <w:lvl w:ilvl="0" w:tplc="0B26E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D418B7"/>
    <w:multiLevelType w:val="hybridMultilevel"/>
    <w:tmpl w:val="30583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825"/>
    <w:rsid w:val="002E0595"/>
    <w:rsid w:val="004062B3"/>
    <w:rsid w:val="00455E66"/>
    <w:rsid w:val="004C6825"/>
    <w:rsid w:val="00826C4A"/>
    <w:rsid w:val="00A93779"/>
    <w:rsid w:val="00EC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D8D9F3-B941-42D6-A164-1A27D273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271" w:lineRule="auto"/>
    </w:pPr>
    <w:rPr>
      <w:rFonts w:ascii="Calibri" w:eastAsia="Calibri" w:hAnsi="Calibri" w:cs="Calibri"/>
      <w:sz w:val="22"/>
      <w:szCs w:val="22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271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279</Words>
  <Characters>1678</Characters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terms:created xsi:type="dcterms:W3CDTF">2022-06-20T11:51:00Z</dcterms:created>
  <dcterms:modified xsi:type="dcterms:W3CDTF">2022-06-20T12:22:00Z</dcterms:modified>
</cp:coreProperties>
</file>