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07A" w:rsidRPr="00C5244F" w:rsidRDefault="0090007A">
      <w:pPr>
        <w:spacing w:line="1" w:lineRule="exact"/>
        <w:rPr>
          <w:lang w:val="en-GB"/>
        </w:rPr>
      </w:pPr>
    </w:p>
    <w:p w:rsidR="0090007A" w:rsidRPr="00C5244F" w:rsidRDefault="00C5244F" w:rsidP="00BB3E0E">
      <w:pPr>
        <w:pStyle w:val="Teksttreci0"/>
        <w:framePr w:w="9154" w:h="15016" w:hRule="exact" w:wrap="none" w:vAnchor="page" w:hAnchor="page" w:x="1378" w:y="1398"/>
        <w:shd w:val="clear" w:color="auto" w:fill="auto"/>
        <w:spacing w:after="300"/>
        <w:jc w:val="center"/>
        <w:rPr>
          <w:lang w:val="en-GB"/>
        </w:rPr>
      </w:pPr>
      <w:r>
        <w:rPr>
          <w:lang w:val="en-GB"/>
        </w:rPr>
        <w:t>Appendix</w:t>
      </w:r>
      <w:r w:rsidR="00C70E31" w:rsidRPr="00C5244F">
        <w:rPr>
          <w:lang w:val="en-GB"/>
        </w:rPr>
        <w:t xml:space="preserve"> </w:t>
      </w:r>
      <w:r>
        <w:rPr>
          <w:lang w:val="en-GB"/>
        </w:rPr>
        <w:t>n</w:t>
      </w:r>
      <w:r w:rsidR="00C70E31" w:rsidRPr="00C5244F">
        <w:rPr>
          <w:lang w:val="en-GB"/>
        </w:rPr>
        <w:t>o. 1 to the resol</w:t>
      </w:r>
      <w:r w:rsidR="00050388">
        <w:rPr>
          <w:lang w:val="en-GB"/>
        </w:rPr>
        <w:t>ution of the Supervisory Board n</w:t>
      </w:r>
      <w:r w:rsidR="00C70E31" w:rsidRPr="00C5244F">
        <w:rPr>
          <w:lang w:val="en-GB"/>
        </w:rPr>
        <w:t>o. 15/RN/2022 of 31 May 2022</w:t>
      </w:r>
    </w:p>
    <w:p w:rsidR="0090007A" w:rsidRPr="00C5244F" w:rsidRDefault="00C70E31" w:rsidP="00AA51FC">
      <w:pPr>
        <w:pStyle w:val="Teksttreci0"/>
        <w:framePr w:w="9154" w:h="15016" w:hRule="exact" w:wrap="none" w:vAnchor="page" w:hAnchor="page" w:x="1378" w:y="1398"/>
        <w:shd w:val="clear" w:color="auto" w:fill="auto"/>
        <w:jc w:val="both"/>
        <w:rPr>
          <w:lang w:val="en-GB"/>
        </w:rPr>
      </w:pPr>
      <w:r w:rsidRPr="00C5244F">
        <w:rPr>
          <w:b/>
          <w:bCs/>
          <w:lang w:val="en-GB"/>
        </w:rPr>
        <w:t>Report on the activities of the Supervisory Board for the financial year ended</w:t>
      </w:r>
      <w:r w:rsidR="008246A5">
        <w:rPr>
          <w:b/>
          <w:bCs/>
          <w:lang w:val="en-GB"/>
        </w:rPr>
        <w:t xml:space="preserve"> on</w:t>
      </w:r>
      <w:r w:rsidRPr="00C5244F">
        <w:rPr>
          <w:b/>
          <w:bCs/>
          <w:lang w:val="en-GB"/>
        </w:rPr>
        <w:t xml:space="preserve"> 31 December 2021</w:t>
      </w:r>
      <w:r w:rsidRPr="00C5244F">
        <w:rPr>
          <w:b/>
          <w:bCs/>
          <w:lang w:val="en-GB"/>
        </w:rPr>
        <w:br/>
        <w:t xml:space="preserve">including an assessment of the Company's </w:t>
      </w:r>
      <w:bookmarkStart w:id="0" w:name="_GoBack"/>
      <w:r w:rsidR="00505DD3">
        <w:rPr>
          <w:b/>
          <w:bCs/>
          <w:lang w:val="en-GB"/>
        </w:rPr>
        <w:t>position</w:t>
      </w:r>
      <w:bookmarkEnd w:id="0"/>
      <w:r w:rsidRPr="00C5244F">
        <w:rPr>
          <w:b/>
          <w:bCs/>
          <w:lang w:val="en-GB"/>
        </w:rPr>
        <w:t xml:space="preserve"> on a consolidated basis, taking into account</w:t>
      </w:r>
      <w:r w:rsidRPr="00C5244F">
        <w:rPr>
          <w:b/>
          <w:bCs/>
          <w:lang w:val="en-GB"/>
        </w:rPr>
        <w:br/>
        <w:t>system of</w:t>
      </w:r>
      <w:r w:rsidR="00C5244F">
        <w:rPr>
          <w:b/>
          <w:bCs/>
          <w:lang w:val="en-GB"/>
        </w:rPr>
        <w:t xml:space="preserve"> </w:t>
      </w:r>
      <w:r w:rsidRPr="00C5244F">
        <w:rPr>
          <w:b/>
          <w:bCs/>
          <w:lang w:val="en-GB"/>
        </w:rPr>
        <w:t>internal</w:t>
      </w:r>
      <w:r w:rsidR="00C5244F">
        <w:rPr>
          <w:b/>
          <w:bCs/>
          <w:lang w:val="en-GB"/>
        </w:rPr>
        <w:t xml:space="preserve"> </w:t>
      </w:r>
      <w:r w:rsidRPr="00C5244F">
        <w:rPr>
          <w:b/>
          <w:bCs/>
          <w:lang w:val="en-GB"/>
        </w:rPr>
        <w:t>control, risk management, compliance and the internal audit function,</w:t>
      </w:r>
      <w:r w:rsidRPr="00C5244F">
        <w:rPr>
          <w:b/>
          <w:bCs/>
          <w:lang w:val="en-GB"/>
        </w:rPr>
        <w:br/>
        <w:t>financial</w:t>
      </w:r>
      <w:r w:rsidR="00C5244F">
        <w:rPr>
          <w:b/>
          <w:bCs/>
          <w:lang w:val="en-GB"/>
        </w:rPr>
        <w:t xml:space="preserve"> </w:t>
      </w:r>
      <w:r w:rsidRPr="00C5244F">
        <w:rPr>
          <w:b/>
          <w:bCs/>
          <w:lang w:val="en-GB"/>
        </w:rPr>
        <w:t>reporting</w:t>
      </w:r>
      <w:r w:rsidR="00C5244F">
        <w:rPr>
          <w:b/>
          <w:bCs/>
          <w:lang w:val="en-GB"/>
        </w:rPr>
        <w:t xml:space="preserve"> </w:t>
      </w:r>
      <w:r w:rsidRPr="00C5244F">
        <w:rPr>
          <w:b/>
          <w:bCs/>
          <w:lang w:val="en-GB"/>
        </w:rPr>
        <w:t>and operations,</w:t>
      </w:r>
      <w:r w:rsidR="00C5244F">
        <w:rPr>
          <w:b/>
          <w:bCs/>
          <w:lang w:val="en-GB"/>
        </w:rPr>
        <w:t xml:space="preserve"> </w:t>
      </w:r>
      <w:r w:rsidRPr="00C5244F">
        <w:rPr>
          <w:b/>
          <w:bCs/>
          <w:lang w:val="en-GB"/>
        </w:rPr>
        <w:t xml:space="preserve">company's application of the principles </w:t>
      </w:r>
      <w:r w:rsidR="00C5244F">
        <w:rPr>
          <w:b/>
          <w:bCs/>
          <w:lang w:val="en-GB"/>
        </w:rPr>
        <w:t xml:space="preserve">of corporate governance and </w:t>
      </w:r>
      <w:r w:rsidRPr="00C5244F">
        <w:rPr>
          <w:b/>
          <w:bCs/>
          <w:lang w:val="en-GB"/>
        </w:rPr>
        <w:t xml:space="preserve">the manner of fulfilling the information obligations concerning their application </w:t>
      </w:r>
      <w:r w:rsidR="008246A5">
        <w:rPr>
          <w:b/>
          <w:bCs/>
          <w:lang w:val="en-GB"/>
        </w:rPr>
        <w:t>specified</w:t>
      </w:r>
      <w:r w:rsidRPr="00C5244F">
        <w:rPr>
          <w:b/>
          <w:bCs/>
          <w:lang w:val="en-GB"/>
        </w:rPr>
        <w:t xml:space="preserve"> in</w:t>
      </w:r>
      <w:r w:rsidRPr="00C5244F">
        <w:rPr>
          <w:b/>
          <w:bCs/>
          <w:lang w:val="en-GB"/>
        </w:rPr>
        <w:br/>
        <w:t xml:space="preserve">the </w:t>
      </w:r>
      <w:r w:rsidR="005843B7">
        <w:rPr>
          <w:b/>
          <w:bCs/>
          <w:lang w:val="en-GB"/>
        </w:rPr>
        <w:t>Stock Exchange Regulations</w:t>
      </w:r>
      <w:r w:rsidRPr="00C5244F">
        <w:rPr>
          <w:b/>
          <w:bCs/>
          <w:lang w:val="en-GB"/>
        </w:rPr>
        <w:t xml:space="preserve"> and regulations concerning current and periodic information provided</w:t>
      </w:r>
      <w:r w:rsidRPr="00C5244F">
        <w:rPr>
          <w:b/>
          <w:bCs/>
          <w:lang w:val="en-GB"/>
        </w:rPr>
        <w:br/>
        <w:t>by issuers of securities, together with information on the actions</w:t>
      </w:r>
      <w:r w:rsidR="00C5244F">
        <w:rPr>
          <w:b/>
          <w:bCs/>
          <w:lang w:val="en-GB"/>
        </w:rPr>
        <w:t xml:space="preserve"> </w:t>
      </w:r>
      <w:r w:rsidRPr="00C5244F">
        <w:rPr>
          <w:b/>
          <w:bCs/>
          <w:lang w:val="en-GB"/>
        </w:rPr>
        <w:t>taken</w:t>
      </w:r>
      <w:r w:rsidR="00C5244F">
        <w:rPr>
          <w:b/>
          <w:bCs/>
          <w:lang w:val="en-GB"/>
        </w:rPr>
        <w:t xml:space="preserve"> </w:t>
      </w:r>
      <w:r w:rsidR="008246A5">
        <w:rPr>
          <w:b/>
          <w:bCs/>
          <w:lang w:val="en-GB"/>
        </w:rPr>
        <w:t xml:space="preserve">by the </w:t>
      </w:r>
      <w:r w:rsidRPr="00C5244F">
        <w:rPr>
          <w:b/>
          <w:bCs/>
          <w:lang w:val="en-GB"/>
        </w:rPr>
        <w:t>Supervisory Board</w:t>
      </w:r>
      <w:r w:rsidRPr="00C5244F">
        <w:rPr>
          <w:b/>
          <w:bCs/>
          <w:lang w:val="en-GB"/>
        </w:rPr>
        <w:br/>
        <w:t>to make this assessment.</w:t>
      </w:r>
    </w:p>
    <w:p w:rsidR="0090007A" w:rsidRPr="00C5244F" w:rsidRDefault="00C70E31" w:rsidP="00AA51FC">
      <w:pPr>
        <w:pStyle w:val="Teksttreci0"/>
        <w:framePr w:w="9154" w:h="15016" w:hRule="exact" w:wrap="none" w:vAnchor="page" w:hAnchor="page" w:x="1378" w:y="1398"/>
        <w:shd w:val="clear" w:color="auto" w:fill="auto"/>
        <w:jc w:val="both"/>
        <w:rPr>
          <w:lang w:val="en-GB"/>
        </w:rPr>
      </w:pPr>
      <w:r w:rsidRPr="00C5244F">
        <w:rPr>
          <w:lang w:val="en-GB"/>
        </w:rPr>
        <w:t>The composition of the Supervisory Board as at 31 December 2021 was as follows:</w:t>
      </w:r>
    </w:p>
    <w:p w:rsidR="0090007A" w:rsidRPr="00C5244F" w:rsidRDefault="00C70E31" w:rsidP="00AA51FC">
      <w:pPr>
        <w:pStyle w:val="Teksttreci0"/>
        <w:framePr w:w="9154" w:h="15016" w:hRule="exact" w:wrap="none" w:vAnchor="page" w:hAnchor="page" w:x="1378" w:y="1398"/>
        <w:numPr>
          <w:ilvl w:val="0"/>
          <w:numId w:val="1"/>
        </w:numPr>
        <w:shd w:val="clear" w:color="auto" w:fill="auto"/>
        <w:tabs>
          <w:tab w:val="left" w:pos="722"/>
        </w:tabs>
        <w:spacing w:after="0"/>
        <w:jc w:val="both"/>
        <w:rPr>
          <w:lang w:val="en-GB"/>
        </w:rPr>
      </w:pPr>
      <w:r w:rsidRPr="00C5244F">
        <w:rPr>
          <w:lang w:val="en-GB"/>
        </w:rPr>
        <w:t xml:space="preserve">Piotr Mondalski </w:t>
      </w:r>
      <w:r w:rsidR="008246A5">
        <w:rPr>
          <w:lang w:val="en-GB"/>
        </w:rPr>
        <w:t>–</w:t>
      </w:r>
      <w:r w:rsidRPr="00C5244F">
        <w:rPr>
          <w:lang w:val="en-GB"/>
        </w:rPr>
        <w:t xml:space="preserve"> Chairman of the Supervisory Board and Independent Member of the </w:t>
      </w:r>
      <w:r w:rsidR="008246A5">
        <w:rPr>
          <w:lang w:val="en-GB"/>
        </w:rPr>
        <w:tab/>
      </w:r>
      <w:r w:rsidRPr="00C5244F">
        <w:rPr>
          <w:lang w:val="en-GB"/>
        </w:rPr>
        <w:t>Supervisory Board,</w:t>
      </w:r>
    </w:p>
    <w:p w:rsidR="0090007A" w:rsidRPr="00C5244F" w:rsidRDefault="00C70E31" w:rsidP="00AA51FC">
      <w:pPr>
        <w:pStyle w:val="Teksttreci0"/>
        <w:framePr w:w="9154" w:h="15016" w:hRule="exact" w:wrap="none" w:vAnchor="page" w:hAnchor="page" w:x="1378" w:y="1398"/>
        <w:numPr>
          <w:ilvl w:val="0"/>
          <w:numId w:val="1"/>
        </w:numPr>
        <w:shd w:val="clear" w:color="auto" w:fill="auto"/>
        <w:tabs>
          <w:tab w:val="left" w:pos="722"/>
        </w:tabs>
        <w:spacing w:after="0"/>
        <w:jc w:val="both"/>
        <w:rPr>
          <w:lang w:val="en-GB"/>
        </w:rPr>
      </w:pPr>
      <w:r w:rsidRPr="00C5244F">
        <w:rPr>
          <w:lang w:val="en-GB"/>
        </w:rPr>
        <w:t>Ja</w:t>
      </w:r>
      <w:r w:rsidR="008246A5">
        <w:rPr>
          <w:lang w:val="en-GB"/>
        </w:rPr>
        <w:t>n Szmidt –</w:t>
      </w:r>
      <w:r w:rsidRPr="00C5244F">
        <w:rPr>
          <w:lang w:val="en-GB"/>
        </w:rPr>
        <w:t xml:space="preserve"> Vice Chairman of the Supervisory Board,</w:t>
      </w:r>
    </w:p>
    <w:p w:rsidR="0090007A" w:rsidRPr="00C5244F" w:rsidRDefault="008246A5" w:rsidP="00AA51FC">
      <w:pPr>
        <w:pStyle w:val="Teksttreci0"/>
        <w:framePr w:w="9154" w:h="15016" w:hRule="exact" w:wrap="none" w:vAnchor="page" w:hAnchor="page" w:x="1378" w:y="1398"/>
        <w:numPr>
          <w:ilvl w:val="0"/>
          <w:numId w:val="1"/>
        </w:numPr>
        <w:shd w:val="clear" w:color="auto" w:fill="auto"/>
        <w:tabs>
          <w:tab w:val="left" w:pos="722"/>
        </w:tabs>
        <w:spacing w:after="0"/>
        <w:rPr>
          <w:lang w:val="en-GB"/>
        </w:rPr>
      </w:pPr>
      <w:r>
        <w:rPr>
          <w:lang w:val="en-GB"/>
        </w:rPr>
        <w:t>Dariusz Górka –</w:t>
      </w:r>
      <w:r w:rsidR="00C70E31" w:rsidRPr="00C5244F">
        <w:rPr>
          <w:lang w:val="en-GB"/>
        </w:rPr>
        <w:t xml:space="preserve"> Independent Member of the Supervisory Board</w:t>
      </w:r>
    </w:p>
    <w:p w:rsidR="0090007A" w:rsidRPr="00C5244F" w:rsidRDefault="00C70E31" w:rsidP="00AA51FC">
      <w:pPr>
        <w:pStyle w:val="Teksttreci0"/>
        <w:framePr w:w="9154" w:h="15016" w:hRule="exact" w:wrap="none" w:vAnchor="page" w:hAnchor="page" w:x="1378" w:y="1398"/>
        <w:numPr>
          <w:ilvl w:val="0"/>
          <w:numId w:val="1"/>
        </w:numPr>
        <w:shd w:val="clear" w:color="auto" w:fill="auto"/>
        <w:tabs>
          <w:tab w:val="left" w:pos="722"/>
        </w:tabs>
        <w:spacing w:after="0"/>
        <w:rPr>
          <w:lang w:val="en-GB"/>
        </w:rPr>
      </w:pPr>
      <w:r w:rsidRPr="00C5244F">
        <w:rPr>
          <w:lang w:val="en-GB"/>
        </w:rPr>
        <w:t xml:space="preserve">Grzegorz Maciąg </w:t>
      </w:r>
      <w:r w:rsidR="008246A5">
        <w:rPr>
          <w:lang w:val="en-GB"/>
        </w:rPr>
        <w:t>–</w:t>
      </w:r>
      <w:r w:rsidRPr="00C5244F">
        <w:rPr>
          <w:lang w:val="en-GB"/>
        </w:rPr>
        <w:t xml:space="preserve"> Independent Member of the Supervisory Board,</w:t>
      </w:r>
    </w:p>
    <w:p w:rsidR="0090007A" w:rsidRPr="00C5244F" w:rsidRDefault="008246A5" w:rsidP="00AA51FC">
      <w:pPr>
        <w:pStyle w:val="Teksttreci0"/>
        <w:framePr w:w="9154" w:h="15016" w:hRule="exact" w:wrap="none" w:vAnchor="page" w:hAnchor="page" w:x="1378" w:y="1398"/>
        <w:numPr>
          <w:ilvl w:val="0"/>
          <w:numId w:val="1"/>
        </w:numPr>
        <w:shd w:val="clear" w:color="auto" w:fill="auto"/>
        <w:tabs>
          <w:tab w:val="left" w:pos="722"/>
        </w:tabs>
        <w:spacing w:after="0"/>
        <w:rPr>
          <w:lang w:val="en-GB"/>
        </w:rPr>
      </w:pPr>
      <w:r>
        <w:rPr>
          <w:lang w:val="en-GB"/>
        </w:rPr>
        <w:t>Wojciech Papierak –</w:t>
      </w:r>
      <w:r w:rsidR="00C70E31" w:rsidRPr="00C5244F">
        <w:rPr>
          <w:lang w:val="en-GB"/>
        </w:rPr>
        <w:t xml:space="preserve"> Independent Member of the Supervisory Board,</w:t>
      </w:r>
    </w:p>
    <w:p w:rsidR="0090007A" w:rsidRPr="00C5244F" w:rsidRDefault="008246A5" w:rsidP="00AA51FC">
      <w:pPr>
        <w:pStyle w:val="Teksttreci0"/>
        <w:framePr w:w="9154" w:h="15016" w:hRule="exact" w:wrap="none" w:vAnchor="page" w:hAnchor="page" w:x="1378" w:y="1398"/>
        <w:numPr>
          <w:ilvl w:val="0"/>
          <w:numId w:val="1"/>
        </w:numPr>
        <w:shd w:val="clear" w:color="auto" w:fill="auto"/>
        <w:tabs>
          <w:tab w:val="left" w:pos="722"/>
        </w:tabs>
        <w:spacing w:after="0"/>
        <w:rPr>
          <w:lang w:val="en-GB"/>
        </w:rPr>
      </w:pPr>
      <w:r>
        <w:rPr>
          <w:lang w:val="en-GB"/>
        </w:rPr>
        <w:t>Michał Kobus –</w:t>
      </w:r>
      <w:r w:rsidR="00C70E31" w:rsidRPr="00C5244F">
        <w:rPr>
          <w:lang w:val="en-GB"/>
        </w:rPr>
        <w:t xml:space="preserve"> Independent Member of the Supervisory Board,</w:t>
      </w:r>
    </w:p>
    <w:p w:rsidR="0090007A" w:rsidRPr="00C5244F" w:rsidRDefault="008246A5" w:rsidP="00AA51FC">
      <w:pPr>
        <w:pStyle w:val="Teksttreci0"/>
        <w:framePr w:w="9154" w:h="15016" w:hRule="exact" w:wrap="none" w:vAnchor="page" w:hAnchor="page" w:x="1378" w:y="1398"/>
        <w:numPr>
          <w:ilvl w:val="0"/>
          <w:numId w:val="1"/>
        </w:numPr>
        <w:shd w:val="clear" w:color="auto" w:fill="auto"/>
        <w:tabs>
          <w:tab w:val="left" w:pos="722"/>
        </w:tabs>
        <w:rPr>
          <w:lang w:val="en-GB"/>
        </w:rPr>
      </w:pPr>
      <w:r>
        <w:rPr>
          <w:lang w:val="en-GB"/>
        </w:rPr>
        <w:t>Beata Szmidt –</w:t>
      </w:r>
      <w:r w:rsidR="00C70E31" w:rsidRPr="00C5244F">
        <w:rPr>
          <w:lang w:val="en-GB"/>
        </w:rPr>
        <w:t xml:space="preserve"> Member of the Supervisory Board.</w:t>
      </w:r>
    </w:p>
    <w:p w:rsidR="0090007A" w:rsidRPr="00C5244F" w:rsidRDefault="00AA51FC" w:rsidP="00AA51FC">
      <w:pPr>
        <w:pStyle w:val="Teksttreci0"/>
        <w:framePr w:w="9154" w:h="15016" w:hRule="exact" w:wrap="none" w:vAnchor="page" w:hAnchor="page" w:x="1378" w:y="1398"/>
        <w:shd w:val="clear" w:color="auto" w:fill="auto"/>
        <w:spacing w:after="300"/>
        <w:jc w:val="both"/>
        <w:rPr>
          <w:lang w:val="en-GB"/>
        </w:rPr>
      </w:pPr>
      <w:r>
        <w:rPr>
          <w:lang w:val="en-GB"/>
        </w:rPr>
        <w:t xml:space="preserve">The </w:t>
      </w:r>
      <w:r w:rsidR="00C70E31" w:rsidRPr="00C5244F">
        <w:rPr>
          <w:lang w:val="en-GB"/>
        </w:rPr>
        <w:t>assessment of the fulfilment of the independence criteria by members of the Supervisory Boar</w:t>
      </w:r>
      <w:r w:rsidR="00C5244F">
        <w:rPr>
          <w:lang w:val="en-GB"/>
        </w:rPr>
        <w:t xml:space="preserve">d </w:t>
      </w:r>
      <w:r>
        <w:rPr>
          <w:lang w:val="en-GB"/>
        </w:rPr>
        <w:t>was</w:t>
      </w:r>
      <w:r w:rsidR="00C5244F">
        <w:rPr>
          <w:lang w:val="en-GB"/>
        </w:rPr>
        <w:t xml:space="preserve"> made on the basis of </w:t>
      </w:r>
      <w:r w:rsidR="00C70E31" w:rsidRPr="00C5244F">
        <w:rPr>
          <w:lang w:val="en-GB"/>
        </w:rPr>
        <w:t xml:space="preserve">written statements submitted by </w:t>
      </w:r>
      <w:r>
        <w:rPr>
          <w:lang w:val="en-GB"/>
        </w:rPr>
        <w:t xml:space="preserve">the </w:t>
      </w:r>
      <w:r w:rsidR="00C70E31" w:rsidRPr="00C5244F">
        <w:rPr>
          <w:lang w:val="en-GB"/>
        </w:rPr>
        <w:t>members of the Supervisory Board.</w:t>
      </w:r>
      <w:r w:rsidR="00C5244F">
        <w:rPr>
          <w:lang w:val="en-GB"/>
        </w:rPr>
        <w:t xml:space="preserve"> </w:t>
      </w:r>
      <w:r w:rsidR="00C70E31" w:rsidRPr="00C5244F">
        <w:rPr>
          <w:lang w:val="en-GB"/>
        </w:rPr>
        <w:t xml:space="preserve">The </w:t>
      </w:r>
      <w:r w:rsidR="00C5244F">
        <w:rPr>
          <w:lang w:val="en-GB"/>
        </w:rPr>
        <w:t xml:space="preserve">Supervisory Board does not have </w:t>
      </w:r>
      <w:r w:rsidR="00C70E31" w:rsidRPr="00C5244F">
        <w:rPr>
          <w:lang w:val="en-GB"/>
        </w:rPr>
        <w:t>information that there are any relat</w:t>
      </w:r>
      <w:r w:rsidR="00C5244F">
        <w:rPr>
          <w:lang w:val="en-GB"/>
        </w:rPr>
        <w:t xml:space="preserve">ionships or circumstances which </w:t>
      </w:r>
      <w:r>
        <w:rPr>
          <w:lang w:val="en-GB"/>
        </w:rPr>
        <w:t>can</w:t>
      </w:r>
      <w:r w:rsidR="00C70E31" w:rsidRPr="00C5244F">
        <w:rPr>
          <w:lang w:val="en-GB"/>
        </w:rPr>
        <w:t xml:space="preserve"> affect the fulfilment of inde</w:t>
      </w:r>
      <w:r w:rsidR="00C5244F">
        <w:rPr>
          <w:lang w:val="en-GB"/>
        </w:rPr>
        <w:t xml:space="preserve">pendence criteria by members of </w:t>
      </w:r>
      <w:r w:rsidR="00C70E31" w:rsidRPr="00C5244F">
        <w:rPr>
          <w:lang w:val="en-GB"/>
        </w:rPr>
        <w:t xml:space="preserve">the Supervisory Board other than those </w:t>
      </w:r>
      <w:r>
        <w:rPr>
          <w:lang w:val="en-GB"/>
        </w:rPr>
        <w:t>specified</w:t>
      </w:r>
      <w:r w:rsidR="00C70E31" w:rsidRPr="00C5244F">
        <w:rPr>
          <w:lang w:val="en-GB"/>
        </w:rPr>
        <w:t xml:space="preserve"> in the submitted statements.</w:t>
      </w:r>
      <w:r w:rsidR="00C5244F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="00C5244F">
        <w:rPr>
          <w:lang w:val="en-GB"/>
        </w:rPr>
        <w:t xml:space="preserve">Independent </w:t>
      </w:r>
      <w:r w:rsidR="00C70E31" w:rsidRPr="00C5244F">
        <w:rPr>
          <w:lang w:val="en-GB"/>
        </w:rPr>
        <w:t>Members of the Supervisory Board have no actual or significant rel</w:t>
      </w:r>
      <w:r w:rsidR="00C5244F">
        <w:rPr>
          <w:lang w:val="en-GB"/>
        </w:rPr>
        <w:t xml:space="preserve">ationships with any shareholder </w:t>
      </w:r>
      <w:r w:rsidR="00C70E31" w:rsidRPr="00C5244F">
        <w:rPr>
          <w:lang w:val="en-GB"/>
        </w:rPr>
        <w:t>holding at least 5% of the total number of votes in TOYA S.A</w:t>
      </w:r>
    </w:p>
    <w:p w:rsidR="0090007A" w:rsidRPr="00C5244F" w:rsidRDefault="00C70E31" w:rsidP="00AA51FC">
      <w:pPr>
        <w:pStyle w:val="Teksttreci0"/>
        <w:framePr w:w="9154" w:h="15016" w:hRule="exact" w:wrap="none" w:vAnchor="page" w:hAnchor="page" w:x="1378" w:y="1398"/>
        <w:shd w:val="clear" w:color="auto" w:fill="auto"/>
        <w:spacing w:line="276" w:lineRule="auto"/>
        <w:jc w:val="both"/>
        <w:rPr>
          <w:lang w:val="en-GB"/>
        </w:rPr>
      </w:pPr>
      <w:r w:rsidRPr="00C5244F">
        <w:rPr>
          <w:lang w:val="en-GB"/>
        </w:rPr>
        <w:t xml:space="preserve">In 2021, no member of the Supervisory Board was </w:t>
      </w:r>
      <w:r w:rsidR="00C5244F">
        <w:rPr>
          <w:lang w:val="en-GB"/>
        </w:rPr>
        <w:t xml:space="preserve">delegated to personally perform </w:t>
      </w:r>
      <w:r w:rsidRPr="00C5244F">
        <w:rPr>
          <w:lang w:val="en-GB"/>
        </w:rPr>
        <w:t>supervisory activities and the Supervisory Board held 5 meetings and adopted 29 resolutions</w:t>
      </w:r>
    </w:p>
    <w:p w:rsidR="0090007A" w:rsidRPr="00C5244F" w:rsidRDefault="00C70E31" w:rsidP="00AA51FC">
      <w:pPr>
        <w:pStyle w:val="Teksttreci0"/>
        <w:framePr w:w="9154" w:h="15016" w:hRule="exact" w:wrap="none" w:vAnchor="page" w:hAnchor="page" w:x="1378" w:y="1398"/>
        <w:numPr>
          <w:ilvl w:val="0"/>
          <w:numId w:val="2"/>
        </w:numPr>
        <w:shd w:val="clear" w:color="auto" w:fill="auto"/>
        <w:tabs>
          <w:tab w:val="left" w:pos="722"/>
        </w:tabs>
        <w:spacing w:after="0" w:line="240" w:lineRule="auto"/>
        <w:ind w:firstLine="240"/>
        <w:rPr>
          <w:sz w:val="24"/>
          <w:szCs w:val="24"/>
          <w:lang w:val="en-GB"/>
        </w:rPr>
      </w:pPr>
      <w:r w:rsidRPr="00C5244F">
        <w:rPr>
          <w:b/>
          <w:bCs/>
          <w:sz w:val="24"/>
          <w:szCs w:val="24"/>
          <w:lang w:val="en-GB"/>
        </w:rPr>
        <w:t>Audit Committee</w:t>
      </w:r>
    </w:p>
    <w:p w:rsidR="0090007A" w:rsidRPr="00C5244F" w:rsidRDefault="00C70E31" w:rsidP="003349A2">
      <w:pPr>
        <w:pStyle w:val="Teksttreci0"/>
        <w:framePr w:w="9154" w:h="15016" w:hRule="exact" w:wrap="none" w:vAnchor="page" w:hAnchor="page" w:x="1378" w:y="1398"/>
        <w:shd w:val="clear" w:color="auto" w:fill="auto"/>
        <w:jc w:val="both"/>
        <w:rPr>
          <w:lang w:val="en-GB"/>
        </w:rPr>
      </w:pPr>
      <w:r w:rsidRPr="00C5244F">
        <w:rPr>
          <w:lang w:val="en-GB"/>
        </w:rPr>
        <w:t>In connection with the commencement of the new term of office on 31 August 2020, the Supervisory B</w:t>
      </w:r>
      <w:r w:rsidR="00C5244F">
        <w:rPr>
          <w:lang w:val="en-GB"/>
        </w:rPr>
        <w:t xml:space="preserve">oard, pursuant to </w:t>
      </w:r>
      <w:r w:rsidR="00AA51FC">
        <w:rPr>
          <w:lang w:val="en-GB"/>
        </w:rPr>
        <w:t>A</w:t>
      </w:r>
      <w:r w:rsidRPr="00C5244F">
        <w:rPr>
          <w:lang w:val="en-GB"/>
        </w:rPr>
        <w:t>rt.128 and Art</w:t>
      </w:r>
      <w:r w:rsidR="00AA51FC">
        <w:rPr>
          <w:lang w:val="en-GB"/>
        </w:rPr>
        <w:t xml:space="preserve">. 129 section </w:t>
      </w:r>
      <w:r w:rsidRPr="00C5244F">
        <w:rPr>
          <w:lang w:val="en-GB"/>
        </w:rPr>
        <w:t xml:space="preserve">1 of the Act of 11 </w:t>
      </w:r>
      <w:r w:rsidR="00AA51FC">
        <w:rPr>
          <w:lang w:val="en-GB"/>
        </w:rPr>
        <w:t xml:space="preserve">May 2017 on statutory auditors, </w:t>
      </w:r>
      <w:r w:rsidRPr="00C5244F">
        <w:rPr>
          <w:lang w:val="en-GB"/>
        </w:rPr>
        <w:t>audit</w:t>
      </w:r>
      <w:r w:rsidR="00C5244F">
        <w:rPr>
          <w:lang w:val="en-GB"/>
        </w:rPr>
        <w:t xml:space="preserve"> </w:t>
      </w:r>
      <w:r w:rsidRPr="00C5244F">
        <w:rPr>
          <w:lang w:val="en-GB"/>
        </w:rPr>
        <w:t>firm</w:t>
      </w:r>
      <w:r w:rsidR="00C5244F">
        <w:rPr>
          <w:lang w:val="en-GB"/>
        </w:rPr>
        <w:t xml:space="preserve"> </w:t>
      </w:r>
      <w:r w:rsidR="00AA51FC">
        <w:rPr>
          <w:lang w:val="en-GB"/>
        </w:rPr>
        <w:t>sand public supervision (consolidated text,</w:t>
      </w:r>
      <w:r w:rsidRPr="00C5244F">
        <w:rPr>
          <w:lang w:val="en-GB"/>
        </w:rPr>
        <w:t xml:space="preserve"> Journal of Laws of 2020, item 14</w:t>
      </w:r>
      <w:r w:rsidR="00C5244F">
        <w:rPr>
          <w:lang w:val="en-GB"/>
        </w:rPr>
        <w:t xml:space="preserve">15, as amended), appointed </w:t>
      </w:r>
      <w:r w:rsidR="00AA51FC" w:rsidRPr="00AA51FC">
        <w:rPr>
          <w:lang w:val="en-GB"/>
        </w:rPr>
        <w:t>from among its</w:t>
      </w:r>
      <w:r w:rsidR="00AA51FC">
        <w:rPr>
          <w:lang w:val="en-GB"/>
        </w:rPr>
        <w:t xml:space="preserve"> </w:t>
      </w:r>
      <w:r w:rsidR="00AA51FC" w:rsidRPr="00AA51FC">
        <w:rPr>
          <w:lang w:val="en-GB"/>
        </w:rPr>
        <w:t>members</w:t>
      </w:r>
      <w:r w:rsidR="00AA51FC">
        <w:rPr>
          <w:lang w:val="en-GB"/>
        </w:rPr>
        <w:t xml:space="preserve"> the </w:t>
      </w:r>
      <w:r w:rsidRPr="00C5244F">
        <w:rPr>
          <w:lang w:val="en-GB"/>
        </w:rPr>
        <w:t>Audit Committee on 8 September</w:t>
      </w:r>
      <w:r w:rsidR="00AA51FC">
        <w:rPr>
          <w:lang w:val="en-GB"/>
        </w:rPr>
        <w:t xml:space="preserve"> </w:t>
      </w:r>
      <w:r w:rsidRPr="00C5244F">
        <w:rPr>
          <w:lang w:val="en-GB"/>
        </w:rPr>
        <w:t>2020 with</w:t>
      </w:r>
      <w:r w:rsidR="00AA51FC">
        <w:rPr>
          <w:lang w:val="en-GB"/>
        </w:rPr>
        <w:t xml:space="preserve"> the</w:t>
      </w:r>
      <w:r w:rsidR="00C5244F">
        <w:rPr>
          <w:lang w:val="en-GB"/>
        </w:rPr>
        <w:t xml:space="preserve"> </w:t>
      </w:r>
      <w:r w:rsidRPr="00C5244F">
        <w:rPr>
          <w:lang w:val="en-GB"/>
        </w:rPr>
        <w:t>following composition:</w:t>
      </w:r>
    </w:p>
    <w:p w:rsidR="0090007A" w:rsidRPr="00C5244F" w:rsidRDefault="00C70E31" w:rsidP="003349A2">
      <w:pPr>
        <w:pStyle w:val="Teksttreci0"/>
        <w:framePr w:w="9154" w:h="15016" w:hRule="exact" w:wrap="none" w:vAnchor="page" w:hAnchor="page" w:x="1378" w:y="1398"/>
        <w:numPr>
          <w:ilvl w:val="0"/>
          <w:numId w:val="3"/>
        </w:numPr>
        <w:shd w:val="clear" w:color="auto" w:fill="auto"/>
        <w:tabs>
          <w:tab w:val="left" w:pos="722"/>
        </w:tabs>
        <w:spacing w:after="0"/>
        <w:jc w:val="both"/>
        <w:rPr>
          <w:lang w:val="en-GB"/>
        </w:rPr>
      </w:pPr>
      <w:r w:rsidRPr="00C5244F">
        <w:rPr>
          <w:lang w:val="en-GB"/>
        </w:rPr>
        <w:t xml:space="preserve">Dariusz Górka </w:t>
      </w:r>
      <w:r w:rsidR="00AA51FC">
        <w:rPr>
          <w:lang w:val="en-GB"/>
        </w:rPr>
        <w:t>–</w:t>
      </w:r>
      <w:r w:rsidRPr="00C5244F">
        <w:rPr>
          <w:lang w:val="en-GB"/>
        </w:rPr>
        <w:t xml:space="preserve"> Chairman of the Audit Committee and Independent Member of the Audit </w:t>
      </w:r>
      <w:r w:rsidR="00C5244F">
        <w:rPr>
          <w:lang w:val="en-GB"/>
        </w:rPr>
        <w:tab/>
      </w:r>
      <w:r w:rsidRPr="00C5244F">
        <w:rPr>
          <w:lang w:val="en-GB"/>
        </w:rPr>
        <w:t>Committee,</w:t>
      </w:r>
    </w:p>
    <w:p w:rsidR="0090007A" w:rsidRPr="00C5244F" w:rsidRDefault="003349A2" w:rsidP="003349A2">
      <w:pPr>
        <w:pStyle w:val="Teksttreci0"/>
        <w:framePr w:w="9154" w:h="15016" w:hRule="exact" w:wrap="none" w:vAnchor="page" w:hAnchor="page" w:x="1378" w:y="1398"/>
        <w:numPr>
          <w:ilvl w:val="0"/>
          <w:numId w:val="3"/>
        </w:numPr>
        <w:shd w:val="clear" w:color="auto" w:fill="auto"/>
        <w:tabs>
          <w:tab w:val="left" w:pos="722"/>
        </w:tabs>
        <w:spacing w:after="0"/>
        <w:jc w:val="both"/>
        <w:rPr>
          <w:lang w:val="en-GB"/>
        </w:rPr>
      </w:pPr>
      <w:r>
        <w:rPr>
          <w:lang w:val="en-GB"/>
        </w:rPr>
        <w:t>Grzegorz Maciąg –</w:t>
      </w:r>
      <w:r w:rsidR="00C70E31" w:rsidRPr="00C5244F">
        <w:rPr>
          <w:lang w:val="en-GB"/>
        </w:rPr>
        <w:t xml:space="preserve"> Independent Member of the Audit Committee,</w:t>
      </w:r>
    </w:p>
    <w:p w:rsidR="0090007A" w:rsidRPr="00C5244F" w:rsidRDefault="00C70E31" w:rsidP="003349A2">
      <w:pPr>
        <w:pStyle w:val="Teksttreci0"/>
        <w:framePr w:w="9154" w:h="15016" w:hRule="exact" w:wrap="none" w:vAnchor="page" w:hAnchor="page" w:x="1378" w:y="1398"/>
        <w:numPr>
          <w:ilvl w:val="0"/>
          <w:numId w:val="3"/>
        </w:numPr>
        <w:shd w:val="clear" w:color="auto" w:fill="auto"/>
        <w:tabs>
          <w:tab w:val="left" w:pos="722"/>
        </w:tabs>
        <w:spacing w:after="0"/>
        <w:jc w:val="both"/>
        <w:rPr>
          <w:lang w:val="en-GB"/>
        </w:rPr>
      </w:pPr>
      <w:r w:rsidRPr="00C5244F">
        <w:rPr>
          <w:lang w:val="en-GB"/>
        </w:rPr>
        <w:t>Jan Szmidt,</w:t>
      </w:r>
    </w:p>
    <w:p w:rsidR="0090007A" w:rsidRPr="00C5244F" w:rsidRDefault="00C70E31" w:rsidP="003349A2">
      <w:pPr>
        <w:pStyle w:val="Teksttreci0"/>
        <w:framePr w:w="9154" w:h="15016" w:hRule="exact" w:wrap="none" w:vAnchor="page" w:hAnchor="page" w:x="1378" w:y="1398"/>
        <w:numPr>
          <w:ilvl w:val="0"/>
          <w:numId w:val="3"/>
        </w:numPr>
        <w:shd w:val="clear" w:color="auto" w:fill="auto"/>
        <w:tabs>
          <w:tab w:val="left" w:pos="722"/>
        </w:tabs>
        <w:jc w:val="both"/>
        <w:rPr>
          <w:lang w:val="en-GB"/>
        </w:rPr>
      </w:pPr>
      <w:r w:rsidRPr="00C5244F">
        <w:rPr>
          <w:lang w:val="en-GB"/>
        </w:rPr>
        <w:t xml:space="preserve">Piotr Mondalski </w:t>
      </w:r>
      <w:r w:rsidR="003349A2">
        <w:rPr>
          <w:lang w:val="en-GB"/>
        </w:rPr>
        <w:t>–</w:t>
      </w:r>
      <w:r w:rsidRPr="00C5244F">
        <w:rPr>
          <w:lang w:val="en-GB"/>
        </w:rPr>
        <w:t xml:space="preserve"> Independent Member of the Audit Committee.</w:t>
      </w:r>
    </w:p>
    <w:p w:rsidR="0090007A" w:rsidRPr="00C5244F" w:rsidRDefault="00C70E31" w:rsidP="003349A2">
      <w:pPr>
        <w:pStyle w:val="Teksttreci0"/>
        <w:framePr w:w="9154" w:h="15016" w:hRule="exact" w:wrap="none" w:vAnchor="page" w:hAnchor="page" w:x="1378" w:y="1398"/>
        <w:shd w:val="clear" w:color="auto" w:fill="auto"/>
        <w:spacing w:after="0" w:line="276" w:lineRule="auto"/>
        <w:jc w:val="both"/>
        <w:rPr>
          <w:lang w:val="en-GB"/>
        </w:rPr>
      </w:pPr>
      <w:r w:rsidRPr="00C5244F">
        <w:rPr>
          <w:lang w:val="en-GB"/>
        </w:rPr>
        <w:t>The Audit Committee member with knowledge and skills in accounting or</w:t>
      </w:r>
      <w:r w:rsidRPr="00C5244F">
        <w:rPr>
          <w:lang w:val="en-GB"/>
        </w:rPr>
        <w:br/>
        <w:t>auditing is Dariusz Górka.</w:t>
      </w:r>
      <w:r w:rsidR="00C5244F">
        <w:rPr>
          <w:lang w:val="en-GB"/>
        </w:rPr>
        <w:t xml:space="preserve"> </w:t>
      </w:r>
      <w:r w:rsidRPr="00C5244F">
        <w:rPr>
          <w:lang w:val="en-GB"/>
        </w:rPr>
        <w:t>Dariusz Górka is a g</w:t>
      </w:r>
      <w:r w:rsidR="00C5244F">
        <w:rPr>
          <w:lang w:val="en-GB"/>
        </w:rPr>
        <w:t xml:space="preserve">raduate of, among others, Stern </w:t>
      </w:r>
      <w:r w:rsidR="00AA51FC">
        <w:rPr>
          <w:lang w:val="en-GB"/>
        </w:rPr>
        <w:t xml:space="preserve">School of Business (New </w:t>
      </w:r>
      <w:r w:rsidRPr="00C5244F">
        <w:rPr>
          <w:lang w:val="en-GB"/>
        </w:rPr>
        <w:t>York, USA), where he completed MBA studies wi</w:t>
      </w:r>
      <w:r w:rsidR="00AA51FC">
        <w:rPr>
          <w:lang w:val="en-GB"/>
        </w:rPr>
        <w:t xml:space="preserve">th a specialisation in finance, </w:t>
      </w:r>
      <w:r w:rsidRPr="00C5244F">
        <w:rPr>
          <w:lang w:val="en-GB"/>
        </w:rPr>
        <w:t>during which he acquired knowledge and skills in the aforementioned area.</w:t>
      </w:r>
      <w:r w:rsidR="00C5244F">
        <w:rPr>
          <w:lang w:val="en-GB"/>
        </w:rPr>
        <w:t xml:space="preserve"> He remains a member of</w:t>
      </w:r>
      <w:r w:rsidR="003349A2">
        <w:rPr>
          <w:lang w:val="en-GB"/>
        </w:rPr>
        <w:t xml:space="preserve"> the</w:t>
      </w:r>
      <w:r w:rsidR="00C5244F">
        <w:rPr>
          <w:lang w:val="en-GB"/>
        </w:rPr>
        <w:t xml:space="preserve"> </w:t>
      </w:r>
      <w:r w:rsidRPr="00C5244F">
        <w:rPr>
          <w:lang w:val="en-GB"/>
        </w:rPr>
        <w:t>Institute of Management Accounting (IMA) in Newark (New York, USA)</w:t>
      </w:r>
    </w:p>
    <w:p w:rsidR="0090007A" w:rsidRPr="00C5244F" w:rsidRDefault="0090007A">
      <w:pPr>
        <w:spacing w:line="1" w:lineRule="exact"/>
        <w:rPr>
          <w:lang w:val="en-GB"/>
        </w:rPr>
        <w:sectPr w:rsidR="0090007A" w:rsidRPr="00C5244F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007A" w:rsidRPr="00C5244F" w:rsidRDefault="0090007A">
      <w:pPr>
        <w:spacing w:line="1" w:lineRule="exact"/>
        <w:rPr>
          <w:lang w:val="en-GB"/>
        </w:rPr>
      </w:pPr>
    </w:p>
    <w:p w:rsidR="0090007A" w:rsidRPr="00C5244F" w:rsidRDefault="00C70E31" w:rsidP="003349A2">
      <w:pPr>
        <w:pStyle w:val="Teksttreci0"/>
        <w:framePr w:w="9154" w:h="13560" w:hRule="exact" w:wrap="none" w:vAnchor="page" w:hAnchor="page" w:x="1377" w:y="1704"/>
        <w:shd w:val="clear" w:color="auto" w:fill="auto"/>
        <w:spacing w:after="0" w:line="276" w:lineRule="auto"/>
        <w:jc w:val="both"/>
        <w:rPr>
          <w:lang w:val="en-GB"/>
        </w:rPr>
      </w:pPr>
      <w:r w:rsidRPr="00C5244F">
        <w:rPr>
          <w:lang w:val="en-GB"/>
        </w:rPr>
        <w:t>A member of the Audit Committee with knowledge and skills in the industry in which TOYA operates</w:t>
      </w:r>
      <w:r w:rsidR="003349A2">
        <w:rPr>
          <w:lang w:val="en-GB"/>
        </w:rPr>
        <w:t xml:space="preserve"> </w:t>
      </w:r>
      <w:r w:rsidRPr="00C5244F">
        <w:rPr>
          <w:lang w:val="en-GB"/>
        </w:rPr>
        <w:t>S.A. is Jan Schmidt. Jan Szmidt is the originator and co-founder of the Company and has bee</w:t>
      </w:r>
      <w:r w:rsidR="003349A2">
        <w:rPr>
          <w:lang w:val="en-GB"/>
        </w:rPr>
        <w:t xml:space="preserve">n associated with the Company </w:t>
      </w:r>
      <w:r w:rsidR="00642595">
        <w:rPr>
          <w:lang w:val="en-GB"/>
        </w:rPr>
        <w:t xml:space="preserve">since its </w:t>
      </w:r>
      <w:r w:rsidR="00642595" w:rsidRPr="00642595">
        <w:rPr>
          <w:lang w:val="en-GB"/>
        </w:rPr>
        <w:t>beginning</w:t>
      </w:r>
      <w:r w:rsidR="00642595">
        <w:rPr>
          <w:lang w:val="en-GB"/>
        </w:rPr>
        <w:t xml:space="preserve">. </w:t>
      </w:r>
      <w:r w:rsidRPr="00C5244F">
        <w:rPr>
          <w:lang w:val="en-GB"/>
        </w:rPr>
        <w:t>He has experience in business development, confirmed by</w:t>
      </w:r>
      <w:r w:rsidRPr="00C5244F">
        <w:rPr>
          <w:lang w:val="en-GB"/>
        </w:rPr>
        <w:br/>
        <w:t>many successes on the Polish and international market</w:t>
      </w:r>
      <w:r w:rsidR="00642595">
        <w:rPr>
          <w:lang w:val="en-GB"/>
        </w:rPr>
        <w:t xml:space="preserve">. </w:t>
      </w:r>
      <w:r w:rsidRPr="00C5244F">
        <w:rPr>
          <w:lang w:val="en-GB"/>
        </w:rPr>
        <w:t xml:space="preserve">He studied </w:t>
      </w:r>
      <w:r w:rsidR="003349A2">
        <w:rPr>
          <w:lang w:val="en-GB"/>
        </w:rPr>
        <w:t>at the Faculty of C</w:t>
      </w:r>
      <w:r w:rsidR="00642595">
        <w:rPr>
          <w:lang w:val="en-GB"/>
        </w:rPr>
        <w:t xml:space="preserve">ivil Engineering </w:t>
      </w:r>
      <w:r w:rsidRPr="00C5244F">
        <w:rPr>
          <w:lang w:val="en-GB"/>
        </w:rPr>
        <w:t>and at the Faculty of Information Technology and Management of the Wrocław University</w:t>
      </w:r>
      <w:r w:rsidR="00642595">
        <w:rPr>
          <w:lang w:val="en-GB"/>
        </w:rPr>
        <w:t xml:space="preserve"> Science</w:t>
      </w:r>
      <w:r w:rsidRPr="00C5244F">
        <w:rPr>
          <w:lang w:val="en-GB"/>
        </w:rPr>
        <w:t xml:space="preserve"> of Technology</w:t>
      </w:r>
      <w:r w:rsidR="00642595">
        <w:rPr>
          <w:lang w:val="en-GB"/>
        </w:rPr>
        <w:t>.</w:t>
      </w:r>
    </w:p>
    <w:p w:rsidR="0090007A" w:rsidRPr="00C5244F" w:rsidRDefault="00642595">
      <w:pPr>
        <w:pStyle w:val="Teksttreci0"/>
        <w:framePr w:w="9154" w:h="13560" w:hRule="exact" w:wrap="none" w:vAnchor="page" w:hAnchor="page" w:x="1377" w:y="1704"/>
        <w:shd w:val="clear" w:color="auto" w:fill="auto"/>
        <w:spacing w:after="180"/>
        <w:jc w:val="both"/>
        <w:rPr>
          <w:lang w:val="en-GB"/>
        </w:rPr>
      </w:pPr>
      <w:r>
        <w:rPr>
          <w:lang w:val="en-GB"/>
        </w:rPr>
        <w:t>In 2021</w:t>
      </w:r>
      <w:r w:rsidR="00C70E31" w:rsidRPr="00C5244F">
        <w:rPr>
          <w:lang w:val="en-GB"/>
        </w:rPr>
        <w:t xml:space="preserve"> </w:t>
      </w:r>
      <w:r>
        <w:rPr>
          <w:lang w:val="en-GB"/>
        </w:rPr>
        <w:t>t</w:t>
      </w:r>
      <w:r w:rsidR="00C70E31" w:rsidRPr="00C5244F">
        <w:rPr>
          <w:lang w:val="en-GB"/>
        </w:rPr>
        <w:t>he Audit Committee held four meetings and passed 7 resolutions.</w:t>
      </w:r>
    </w:p>
    <w:p w:rsidR="0090007A" w:rsidRPr="00C5244F" w:rsidRDefault="00C70E31">
      <w:pPr>
        <w:pStyle w:val="Teksttreci0"/>
        <w:framePr w:w="9154" w:h="13560" w:hRule="exact" w:wrap="none" w:vAnchor="page" w:hAnchor="page" w:x="1377" w:y="1704"/>
        <w:numPr>
          <w:ilvl w:val="0"/>
          <w:numId w:val="4"/>
        </w:numPr>
        <w:shd w:val="clear" w:color="auto" w:fill="auto"/>
        <w:tabs>
          <w:tab w:val="left" w:pos="673"/>
        </w:tabs>
        <w:spacing w:after="0" w:line="240" w:lineRule="auto"/>
        <w:ind w:firstLine="180"/>
        <w:jc w:val="both"/>
        <w:rPr>
          <w:sz w:val="24"/>
          <w:szCs w:val="24"/>
          <w:lang w:val="en-GB"/>
        </w:rPr>
      </w:pPr>
      <w:r w:rsidRPr="00C5244F">
        <w:rPr>
          <w:b/>
          <w:bCs/>
          <w:sz w:val="24"/>
          <w:szCs w:val="24"/>
          <w:lang w:val="en-GB"/>
        </w:rPr>
        <w:t>Summary of the work of the Supervisory Board and the Audit Committee in 2021.</w:t>
      </w:r>
    </w:p>
    <w:p w:rsidR="0090007A" w:rsidRPr="00C5244F" w:rsidRDefault="00C70E31">
      <w:pPr>
        <w:pStyle w:val="Teksttreci0"/>
        <w:framePr w:w="9154" w:h="13560" w:hRule="exact" w:wrap="none" w:vAnchor="page" w:hAnchor="page" w:x="1377" w:y="1704"/>
        <w:shd w:val="clear" w:color="auto" w:fill="auto"/>
        <w:spacing w:after="180"/>
        <w:jc w:val="both"/>
        <w:rPr>
          <w:lang w:val="en-GB"/>
        </w:rPr>
      </w:pPr>
      <w:r w:rsidRPr="00C5244F">
        <w:rPr>
          <w:lang w:val="en-GB"/>
        </w:rPr>
        <w:t xml:space="preserve">In its work in 2021 </w:t>
      </w:r>
      <w:r w:rsidR="00642595">
        <w:rPr>
          <w:lang w:val="en-GB"/>
        </w:rPr>
        <w:t>t</w:t>
      </w:r>
      <w:r w:rsidRPr="00C5244F">
        <w:rPr>
          <w:lang w:val="en-GB"/>
        </w:rPr>
        <w:t>he Supervisory Board focused on analysing, in cooperation with</w:t>
      </w:r>
      <w:r w:rsidRPr="00C5244F">
        <w:rPr>
          <w:lang w:val="en-GB"/>
        </w:rPr>
        <w:br/>
        <w:t xml:space="preserve">the Management Board, the current </w:t>
      </w:r>
      <w:r w:rsidR="00642595">
        <w:rPr>
          <w:lang w:val="en-GB"/>
        </w:rPr>
        <w:t>actions</w:t>
      </w:r>
      <w:r w:rsidRPr="00C5244F">
        <w:rPr>
          <w:lang w:val="en-GB"/>
        </w:rPr>
        <w:t xml:space="preserve"> and development strategy of the Company and evaluating the Company's performan</w:t>
      </w:r>
      <w:r w:rsidR="003349A2">
        <w:rPr>
          <w:lang w:val="en-GB"/>
        </w:rPr>
        <w:t xml:space="preserve">ce. At </w:t>
      </w:r>
      <w:r w:rsidRPr="00C5244F">
        <w:rPr>
          <w:lang w:val="en-GB"/>
        </w:rPr>
        <w:t xml:space="preserve">meetings of the Supervisory Board, </w:t>
      </w:r>
      <w:r w:rsidR="00642595">
        <w:rPr>
          <w:lang w:val="en-GB"/>
        </w:rPr>
        <w:t xml:space="preserve">the </w:t>
      </w:r>
      <w:r w:rsidRPr="00C5244F">
        <w:rPr>
          <w:lang w:val="en-GB"/>
        </w:rPr>
        <w:t>members of the Management Board wer</w:t>
      </w:r>
      <w:r w:rsidR="003349A2">
        <w:rPr>
          <w:lang w:val="en-GB"/>
        </w:rPr>
        <w:t xml:space="preserve">e present and provided detailed </w:t>
      </w:r>
      <w:r w:rsidRPr="00C5244F">
        <w:rPr>
          <w:lang w:val="en-GB"/>
        </w:rPr>
        <w:t>information and explanations on matters covered by the agenda of the</w:t>
      </w:r>
      <w:r w:rsidR="003349A2">
        <w:rPr>
          <w:lang w:val="en-GB"/>
        </w:rPr>
        <w:t xml:space="preserve"> Supervisory Board meeting, in </w:t>
      </w:r>
      <w:r w:rsidRPr="00C5244F">
        <w:rPr>
          <w:lang w:val="en-GB"/>
        </w:rPr>
        <w:t>particular on matters relating to the Company's product sales strate</w:t>
      </w:r>
      <w:r w:rsidR="003349A2">
        <w:rPr>
          <w:lang w:val="en-GB"/>
        </w:rPr>
        <w:t xml:space="preserve">gy, the distribution system, </w:t>
      </w:r>
      <w:r w:rsidRPr="00C5244F">
        <w:rPr>
          <w:lang w:val="en-GB"/>
        </w:rPr>
        <w:t>including the</w:t>
      </w:r>
      <w:r w:rsidR="00642595">
        <w:rPr>
          <w:lang w:val="en-GB"/>
        </w:rPr>
        <w:t xml:space="preserve"> implementation</w:t>
      </w:r>
      <w:r w:rsidRPr="00C5244F">
        <w:rPr>
          <w:lang w:val="en-GB"/>
        </w:rPr>
        <w:t xml:space="preserve"> status of sales projects in individual distribution cha</w:t>
      </w:r>
      <w:r w:rsidR="003349A2">
        <w:rPr>
          <w:lang w:val="en-GB"/>
        </w:rPr>
        <w:t xml:space="preserve">nnels and the implementation of </w:t>
      </w:r>
      <w:r w:rsidRPr="00C5244F">
        <w:rPr>
          <w:lang w:val="en-GB"/>
        </w:rPr>
        <w:t>IT projects</w:t>
      </w:r>
    </w:p>
    <w:p w:rsidR="0090007A" w:rsidRPr="00C5244F" w:rsidRDefault="00C70E31">
      <w:pPr>
        <w:pStyle w:val="Teksttreci0"/>
        <w:framePr w:w="9154" w:h="13560" w:hRule="exact" w:wrap="none" w:vAnchor="page" w:hAnchor="page" w:x="1377" w:y="1704"/>
        <w:shd w:val="clear" w:color="auto" w:fill="auto"/>
        <w:spacing w:after="180"/>
        <w:jc w:val="both"/>
        <w:rPr>
          <w:lang w:val="en-GB"/>
        </w:rPr>
      </w:pPr>
      <w:r w:rsidRPr="00C5244F">
        <w:rPr>
          <w:lang w:val="en-GB"/>
        </w:rPr>
        <w:t>Supervisory Board approved the company's budget for 2022. The Supervisory Board also analysed</w:t>
      </w:r>
      <w:r w:rsidRPr="00C5244F">
        <w:rPr>
          <w:lang w:val="en-GB"/>
        </w:rPr>
        <w:br/>
        <w:t>the ac</w:t>
      </w:r>
      <w:r w:rsidR="00642595">
        <w:rPr>
          <w:lang w:val="en-GB"/>
        </w:rPr>
        <w:t>tions</w:t>
      </w:r>
      <w:r w:rsidRPr="00C5244F">
        <w:rPr>
          <w:lang w:val="en-GB"/>
        </w:rPr>
        <w:t xml:space="preserve"> of the</w:t>
      </w:r>
      <w:r w:rsidR="00642595">
        <w:rPr>
          <w:lang w:val="en-GB"/>
        </w:rPr>
        <w:t xml:space="preserve"> Capital Group of</w:t>
      </w:r>
      <w:r w:rsidRPr="00C5244F">
        <w:rPr>
          <w:lang w:val="en-GB"/>
        </w:rPr>
        <w:t xml:space="preserve"> TOYA S.A., paying particular attention to Yato Tools (Shanghai)</w:t>
      </w:r>
      <w:r w:rsidRPr="00C5244F">
        <w:rPr>
          <w:lang w:val="en-GB"/>
        </w:rPr>
        <w:br/>
        <w:t>Co. Ltd and Yato Tools (Jiaxing) Co. Ltd. due to the prospects of the Chinese market, where</w:t>
      </w:r>
      <w:r w:rsidRPr="00C5244F">
        <w:rPr>
          <w:lang w:val="en-GB"/>
        </w:rPr>
        <w:br/>
        <w:t>these companies</w:t>
      </w:r>
      <w:r w:rsidR="003349A2">
        <w:rPr>
          <w:lang w:val="en-GB"/>
        </w:rPr>
        <w:t xml:space="preserve"> </w:t>
      </w:r>
      <w:r w:rsidRPr="00C5244F">
        <w:rPr>
          <w:lang w:val="en-GB"/>
        </w:rPr>
        <w:t>operate</w:t>
      </w:r>
    </w:p>
    <w:p w:rsidR="0090007A" w:rsidRPr="00C5244F" w:rsidRDefault="00C70E31">
      <w:pPr>
        <w:pStyle w:val="Teksttreci0"/>
        <w:framePr w:w="9154" w:h="13560" w:hRule="exact" w:wrap="none" w:vAnchor="page" w:hAnchor="page" w:x="1377" w:y="1704"/>
        <w:shd w:val="clear" w:color="auto" w:fill="auto"/>
        <w:spacing w:after="180" w:line="276" w:lineRule="auto"/>
        <w:jc w:val="both"/>
        <w:rPr>
          <w:lang w:val="en-GB"/>
        </w:rPr>
      </w:pPr>
      <w:r w:rsidRPr="00C5244F">
        <w:rPr>
          <w:lang w:val="en-GB"/>
        </w:rPr>
        <w:t>The act</w:t>
      </w:r>
      <w:r w:rsidR="00642595">
        <w:rPr>
          <w:lang w:val="en-GB"/>
        </w:rPr>
        <w:t xml:space="preserve">ions </w:t>
      </w:r>
      <w:r w:rsidRPr="00C5244F">
        <w:rPr>
          <w:lang w:val="en-GB"/>
        </w:rPr>
        <w:t>of the Supervisory Board were supported by the Audit Committee.</w:t>
      </w:r>
      <w:r w:rsidR="00642595">
        <w:rPr>
          <w:lang w:val="en-GB"/>
        </w:rPr>
        <w:t xml:space="preserve"> The </w:t>
      </w:r>
      <w:r w:rsidR="003349A2">
        <w:rPr>
          <w:lang w:val="en-GB"/>
        </w:rPr>
        <w:t xml:space="preserve">members of the Audit Committee, </w:t>
      </w:r>
      <w:r w:rsidRPr="00C5244F">
        <w:rPr>
          <w:lang w:val="en-GB"/>
        </w:rPr>
        <w:t>in accordance with the provisions of the Regulations of the Supervisory Board, moni</w:t>
      </w:r>
      <w:r w:rsidR="003349A2">
        <w:rPr>
          <w:lang w:val="en-GB"/>
        </w:rPr>
        <w:t xml:space="preserve">tored i.a. the effectiveness of </w:t>
      </w:r>
      <w:r w:rsidRPr="00C5244F">
        <w:rPr>
          <w:lang w:val="en-GB"/>
        </w:rPr>
        <w:t>internal control</w:t>
      </w:r>
      <w:r w:rsidR="00926C64">
        <w:rPr>
          <w:lang w:val="en-GB"/>
        </w:rPr>
        <w:t xml:space="preserve"> </w:t>
      </w:r>
      <w:r w:rsidRPr="00C5244F">
        <w:rPr>
          <w:lang w:val="en-GB"/>
        </w:rPr>
        <w:t>systems</w:t>
      </w:r>
      <w:r w:rsidR="00926C64">
        <w:rPr>
          <w:lang w:val="en-GB"/>
        </w:rPr>
        <w:t xml:space="preserve">, </w:t>
      </w:r>
      <w:r w:rsidRPr="00C5244F">
        <w:rPr>
          <w:lang w:val="en-GB"/>
        </w:rPr>
        <w:t>analysed on a current basis the Company's</w:t>
      </w:r>
      <w:r w:rsidR="003349A2">
        <w:rPr>
          <w:lang w:val="en-GB"/>
        </w:rPr>
        <w:t xml:space="preserve"> financial results presented by </w:t>
      </w:r>
      <w:r w:rsidRPr="00C5244F">
        <w:rPr>
          <w:lang w:val="en-GB"/>
        </w:rPr>
        <w:t>financial</w:t>
      </w:r>
      <w:r w:rsidR="003349A2">
        <w:rPr>
          <w:lang w:val="en-GB"/>
        </w:rPr>
        <w:t xml:space="preserve"> department </w:t>
      </w:r>
      <w:r w:rsidR="00926C64">
        <w:rPr>
          <w:lang w:val="en-GB"/>
        </w:rPr>
        <w:t xml:space="preserve">and </w:t>
      </w:r>
      <w:r w:rsidRPr="00C5244F">
        <w:rPr>
          <w:lang w:val="en-GB"/>
        </w:rPr>
        <w:t>monitored the Company's financial reporting proces</w:t>
      </w:r>
      <w:r w:rsidR="003349A2">
        <w:rPr>
          <w:lang w:val="en-GB"/>
        </w:rPr>
        <w:t xml:space="preserve">s as well as cooperated with </w:t>
      </w:r>
      <w:r w:rsidRPr="00C5244F">
        <w:rPr>
          <w:lang w:val="en-GB"/>
        </w:rPr>
        <w:t xml:space="preserve">representatives of the statutory auditor, i.e. </w:t>
      </w:r>
      <w:r w:rsidR="003349A2">
        <w:rPr>
          <w:lang w:val="en-GB"/>
        </w:rPr>
        <w:t xml:space="preserve">KPMG Audyt Spółka z ograniczoną </w:t>
      </w:r>
      <w:r w:rsidRPr="00C5244F">
        <w:rPr>
          <w:lang w:val="en-GB"/>
        </w:rPr>
        <w:t>odpowiedzialnością sp.k.</w:t>
      </w:r>
      <w:r w:rsidR="003349A2">
        <w:rPr>
          <w:lang w:val="en-GB"/>
        </w:rPr>
        <w:t xml:space="preserve"> </w:t>
      </w:r>
      <w:r w:rsidR="00926C64">
        <w:rPr>
          <w:lang w:val="en-GB"/>
        </w:rPr>
        <w:t xml:space="preserve">with its registered office </w:t>
      </w:r>
      <w:r w:rsidRPr="00C5244F">
        <w:rPr>
          <w:lang w:val="en-GB"/>
        </w:rPr>
        <w:t>in Warsaw, discussing with them si</w:t>
      </w:r>
      <w:r w:rsidR="003349A2">
        <w:rPr>
          <w:lang w:val="en-GB"/>
        </w:rPr>
        <w:t xml:space="preserve">gnificant issues related to </w:t>
      </w:r>
      <w:r w:rsidRPr="00C5244F">
        <w:rPr>
          <w:lang w:val="en-GB"/>
        </w:rPr>
        <w:t>the rep</w:t>
      </w:r>
      <w:r w:rsidR="003349A2">
        <w:rPr>
          <w:lang w:val="en-GB"/>
        </w:rPr>
        <w:t>orts for the financial year 2021.</w:t>
      </w:r>
    </w:p>
    <w:p w:rsidR="0090007A" w:rsidRPr="00C5244F" w:rsidRDefault="00C70E31">
      <w:pPr>
        <w:pStyle w:val="Teksttreci0"/>
        <w:framePr w:w="9154" w:h="13560" w:hRule="exact" w:wrap="none" w:vAnchor="page" w:hAnchor="page" w:x="1377" w:y="1704"/>
        <w:numPr>
          <w:ilvl w:val="0"/>
          <w:numId w:val="4"/>
        </w:numPr>
        <w:shd w:val="clear" w:color="auto" w:fill="auto"/>
        <w:tabs>
          <w:tab w:val="left" w:pos="673"/>
        </w:tabs>
        <w:spacing w:after="0" w:line="240" w:lineRule="auto"/>
        <w:ind w:left="720" w:hanging="720"/>
        <w:jc w:val="both"/>
        <w:rPr>
          <w:sz w:val="24"/>
          <w:szCs w:val="24"/>
          <w:lang w:val="en-GB"/>
        </w:rPr>
      </w:pPr>
      <w:r w:rsidRPr="00C5244F">
        <w:rPr>
          <w:b/>
          <w:bCs/>
          <w:sz w:val="24"/>
          <w:szCs w:val="24"/>
          <w:lang w:val="en-GB"/>
        </w:rPr>
        <w:t xml:space="preserve">Assessment of the Company's </w:t>
      </w:r>
      <w:r w:rsidR="00505DD3">
        <w:rPr>
          <w:b/>
          <w:bCs/>
          <w:sz w:val="24"/>
          <w:szCs w:val="24"/>
          <w:lang w:val="en-GB"/>
        </w:rPr>
        <w:t>position</w:t>
      </w:r>
      <w:r w:rsidRPr="00C5244F">
        <w:rPr>
          <w:b/>
          <w:bCs/>
          <w:sz w:val="24"/>
          <w:szCs w:val="24"/>
          <w:lang w:val="en-GB"/>
        </w:rPr>
        <w:t xml:space="preserve"> on a consolidated basis, including the system</w:t>
      </w:r>
      <w:r w:rsidRPr="00C5244F">
        <w:rPr>
          <w:b/>
          <w:bCs/>
          <w:sz w:val="24"/>
          <w:szCs w:val="24"/>
          <w:lang w:val="en-GB"/>
        </w:rPr>
        <w:br/>
        <w:t>of internal control, risk management, compliance</w:t>
      </w:r>
      <w:r w:rsidR="003349A2">
        <w:rPr>
          <w:b/>
          <w:bCs/>
          <w:sz w:val="24"/>
          <w:szCs w:val="24"/>
          <w:lang w:val="en-GB"/>
        </w:rPr>
        <w:t xml:space="preserve"> and the </w:t>
      </w:r>
      <w:r w:rsidRPr="00C5244F">
        <w:rPr>
          <w:b/>
          <w:bCs/>
          <w:sz w:val="24"/>
          <w:szCs w:val="24"/>
          <w:lang w:val="en-GB"/>
        </w:rPr>
        <w:t>internal</w:t>
      </w:r>
      <w:r w:rsidR="003349A2">
        <w:rPr>
          <w:b/>
          <w:bCs/>
          <w:sz w:val="24"/>
          <w:szCs w:val="24"/>
          <w:lang w:val="en-GB"/>
        </w:rPr>
        <w:t xml:space="preserve"> </w:t>
      </w:r>
      <w:r w:rsidRPr="00C5244F">
        <w:rPr>
          <w:b/>
          <w:bCs/>
          <w:sz w:val="24"/>
          <w:szCs w:val="24"/>
          <w:lang w:val="en-GB"/>
        </w:rPr>
        <w:t>audit function, financial report</w:t>
      </w:r>
      <w:r w:rsidR="003349A2">
        <w:rPr>
          <w:b/>
          <w:bCs/>
          <w:sz w:val="24"/>
          <w:szCs w:val="24"/>
          <w:lang w:val="en-GB"/>
        </w:rPr>
        <w:t xml:space="preserve">ing and operations, application </w:t>
      </w:r>
      <w:r w:rsidRPr="00C5244F">
        <w:rPr>
          <w:b/>
          <w:bCs/>
          <w:sz w:val="24"/>
          <w:szCs w:val="24"/>
          <w:lang w:val="en-GB"/>
        </w:rPr>
        <w:t>by t</w:t>
      </w:r>
      <w:r w:rsidR="003349A2">
        <w:rPr>
          <w:b/>
          <w:bCs/>
          <w:sz w:val="24"/>
          <w:szCs w:val="24"/>
          <w:lang w:val="en-GB"/>
        </w:rPr>
        <w:t xml:space="preserve">he company of the principles of </w:t>
      </w:r>
      <w:r w:rsidRPr="00C5244F">
        <w:rPr>
          <w:b/>
          <w:bCs/>
          <w:sz w:val="24"/>
          <w:szCs w:val="24"/>
          <w:lang w:val="en-GB"/>
        </w:rPr>
        <w:t>corporate governance and the manner o</w:t>
      </w:r>
      <w:r w:rsidR="003349A2">
        <w:rPr>
          <w:b/>
          <w:bCs/>
          <w:sz w:val="24"/>
          <w:szCs w:val="24"/>
          <w:lang w:val="en-GB"/>
        </w:rPr>
        <w:t xml:space="preserve">f fulfilment of the obligations </w:t>
      </w:r>
      <w:r w:rsidRPr="00C5244F">
        <w:rPr>
          <w:b/>
          <w:bCs/>
          <w:sz w:val="24"/>
          <w:szCs w:val="24"/>
          <w:lang w:val="en-GB"/>
        </w:rPr>
        <w:t xml:space="preserve">to provide information on their application </w:t>
      </w:r>
      <w:r w:rsidR="00926C64">
        <w:rPr>
          <w:b/>
          <w:bCs/>
          <w:sz w:val="24"/>
          <w:szCs w:val="24"/>
          <w:lang w:val="en-GB"/>
        </w:rPr>
        <w:t>specified</w:t>
      </w:r>
      <w:r w:rsidRPr="00C5244F">
        <w:rPr>
          <w:b/>
          <w:bCs/>
          <w:sz w:val="24"/>
          <w:szCs w:val="24"/>
          <w:lang w:val="en-GB"/>
        </w:rPr>
        <w:t xml:space="preserve"> in t</w:t>
      </w:r>
      <w:r w:rsidR="003349A2">
        <w:rPr>
          <w:b/>
          <w:bCs/>
          <w:sz w:val="24"/>
          <w:szCs w:val="24"/>
          <w:lang w:val="en-GB"/>
        </w:rPr>
        <w:t xml:space="preserve">he </w:t>
      </w:r>
      <w:r w:rsidR="005843B7">
        <w:rPr>
          <w:b/>
          <w:bCs/>
          <w:sz w:val="24"/>
          <w:szCs w:val="24"/>
          <w:lang w:val="en-GB"/>
        </w:rPr>
        <w:t>Stock Exchange Regulations</w:t>
      </w:r>
      <w:r w:rsidR="003349A2">
        <w:rPr>
          <w:b/>
          <w:bCs/>
          <w:sz w:val="24"/>
          <w:szCs w:val="24"/>
          <w:lang w:val="en-GB"/>
        </w:rPr>
        <w:t xml:space="preserve"> and </w:t>
      </w:r>
      <w:r w:rsidRPr="00C5244F">
        <w:rPr>
          <w:b/>
          <w:bCs/>
          <w:sz w:val="24"/>
          <w:szCs w:val="24"/>
          <w:lang w:val="en-GB"/>
        </w:rPr>
        <w:t>regulations concerning current and p</w:t>
      </w:r>
      <w:r w:rsidR="003349A2">
        <w:rPr>
          <w:b/>
          <w:bCs/>
          <w:sz w:val="24"/>
          <w:szCs w:val="24"/>
          <w:lang w:val="en-GB"/>
        </w:rPr>
        <w:t xml:space="preserve">eriodic information provided by </w:t>
      </w:r>
      <w:r w:rsidRPr="00C5244F">
        <w:rPr>
          <w:b/>
          <w:bCs/>
          <w:sz w:val="24"/>
          <w:szCs w:val="24"/>
          <w:lang w:val="en-GB"/>
        </w:rPr>
        <w:t>issuers of securities,</w:t>
      </w:r>
      <w:r w:rsidR="003349A2">
        <w:rPr>
          <w:b/>
          <w:bCs/>
          <w:sz w:val="24"/>
          <w:szCs w:val="24"/>
          <w:lang w:val="en-GB"/>
        </w:rPr>
        <w:t xml:space="preserve"> </w:t>
      </w:r>
      <w:r w:rsidRPr="00C5244F">
        <w:rPr>
          <w:b/>
          <w:bCs/>
          <w:sz w:val="24"/>
          <w:szCs w:val="24"/>
          <w:lang w:val="en-GB"/>
        </w:rPr>
        <w:t>together with information on the actions</w:t>
      </w:r>
      <w:r w:rsidR="003349A2">
        <w:rPr>
          <w:b/>
          <w:bCs/>
          <w:sz w:val="24"/>
          <w:szCs w:val="24"/>
          <w:lang w:val="en-GB"/>
        </w:rPr>
        <w:t xml:space="preserve"> </w:t>
      </w:r>
      <w:r w:rsidRPr="00C5244F">
        <w:rPr>
          <w:b/>
          <w:bCs/>
          <w:sz w:val="24"/>
          <w:szCs w:val="24"/>
          <w:lang w:val="en-GB"/>
        </w:rPr>
        <w:t>taken</w:t>
      </w:r>
      <w:r w:rsidR="003349A2">
        <w:rPr>
          <w:b/>
          <w:bCs/>
          <w:sz w:val="24"/>
          <w:szCs w:val="24"/>
          <w:lang w:val="en-GB"/>
        </w:rPr>
        <w:t xml:space="preserve"> </w:t>
      </w:r>
      <w:r w:rsidR="00926C64">
        <w:rPr>
          <w:b/>
          <w:bCs/>
          <w:sz w:val="24"/>
          <w:szCs w:val="24"/>
          <w:lang w:val="en-GB"/>
        </w:rPr>
        <w:t xml:space="preserve">by the </w:t>
      </w:r>
      <w:r w:rsidRPr="00C5244F">
        <w:rPr>
          <w:b/>
          <w:bCs/>
          <w:sz w:val="24"/>
          <w:szCs w:val="24"/>
          <w:lang w:val="en-GB"/>
        </w:rPr>
        <w:t>Supervisory</w:t>
      </w:r>
      <w:r w:rsidR="003349A2">
        <w:rPr>
          <w:b/>
          <w:bCs/>
          <w:sz w:val="24"/>
          <w:szCs w:val="24"/>
          <w:lang w:val="en-GB"/>
        </w:rPr>
        <w:t xml:space="preserve"> Board</w:t>
      </w:r>
      <w:r w:rsidR="00926C64">
        <w:rPr>
          <w:b/>
          <w:bCs/>
          <w:sz w:val="24"/>
          <w:szCs w:val="24"/>
          <w:lang w:val="en-GB"/>
        </w:rPr>
        <w:t xml:space="preserve"> to</w:t>
      </w:r>
      <w:r w:rsidR="003349A2">
        <w:rPr>
          <w:b/>
          <w:bCs/>
          <w:sz w:val="24"/>
          <w:szCs w:val="24"/>
          <w:lang w:val="en-GB"/>
        </w:rPr>
        <w:t xml:space="preserve"> per</w:t>
      </w:r>
      <w:r w:rsidRPr="00C5244F">
        <w:rPr>
          <w:b/>
          <w:bCs/>
          <w:sz w:val="24"/>
          <w:szCs w:val="24"/>
          <w:lang w:val="en-GB"/>
        </w:rPr>
        <w:t>form this assessment.</w:t>
      </w:r>
    </w:p>
    <w:p w:rsidR="0090007A" w:rsidRPr="00C5244F" w:rsidRDefault="00C70E31">
      <w:pPr>
        <w:pStyle w:val="Teksttreci0"/>
        <w:framePr w:w="9154" w:h="13560" w:hRule="exact" w:wrap="none" w:vAnchor="page" w:hAnchor="page" w:x="1377" w:y="1704"/>
        <w:shd w:val="clear" w:color="auto" w:fill="auto"/>
        <w:spacing w:after="180"/>
        <w:jc w:val="both"/>
        <w:rPr>
          <w:lang w:val="en-GB"/>
        </w:rPr>
      </w:pPr>
      <w:r w:rsidRPr="00C5244F">
        <w:rPr>
          <w:lang w:val="en-GB"/>
        </w:rPr>
        <w:t>While supervising the a</w:t>
      </w:r>
      <w:r w:rsidR="00926C64">
        <w:rPr>
          <w:lang w:val="en-GB"/>
        </w:rPr>
        <w:t>ctions</w:t>
      </w:r>
      <w:r w:rsidRPr="00C5244F">
        <w:rPr>
          <w:lang w:val="en-GB"/>
        </w:rPr>
        <w:t xml:space="preserve"> of the Company and the Capital Group, the Supervisory Board evaluated</w:t>
      </w:r>
      <w:r w:rsidRPr="00C5244F">
        <w:rPr>
          <w:lang w:val="en-GB"/>
        </w:rPr>
        <w:br/>
        <w:t>the Company's financial results and the work of the Management Board,</w:t>
      </w:r>
      <w:r w:rsidR="003349A2">
        <w:rPr>
          <w:lang w:val="en-GB"/>
        </w:rPr>
        <w:t xml:space="preserve"> </w:t>
      </w:r>
      <w:r w:rsidRPr="00C5244F">
        <w:rPr>
          <w:lang w:val="en-GB"/>
        </w:rPr>
        <w:t>in particu</w:t>
      </w:r>
      <w:r w:rsidR="003349A2">
        <w:rPr>
          <w:lang w:val="en-GB"/>
        </w:rPr>
        <w:t xml:space="preserve">lar by analysing and evaluating </w:t>
      </w:r>
      <w:r w:rsidRPr="00C5244F">
        <w:rPr>
          <w:lang w:val="en-GB"/>
        </w:rPr>
        <w:t>the Company's revenues, incurred costs, operating result, gross and net result, management</w:t>
      </w:r>
      <w:r w:rsidRPr="00C5244F">
        <w:rPr>
          <w:lang w:val="en-GB"/>
        </w:rPr>
        <w:br/>
        <w:t>of inventories, financial resources, state of receivables and liabilities, financial liquidity and</w:t>
      </w:r>
      <w:r w:rsidRPr="00C5244F">
        <w:rPr>
          <w:lang w:val="en-GB"/>
        </w:rPr>
        <w:br/>
        <w:t>sales margins</w:t>
      </w:r>
      <w:r w:rsidR="003349A2">
        <w:rPr>
          <w:lang w:val="en-GB"/>
        </w:rPr>
        <w:t>.</w:t>
      </w:r>
    </w:p>
    <w:p w:rsidR="0090007A" w:rsidRPr="00C5244F" w:rsidRDefault="00C70E31">
      <w:pPr>
        <w:pStyle w:val="Teksttreci0"/>
        <w:framePr w:w="9154" w:h="13560" w:hRule="exact" w:wrap="none" w:vAnchor="page" w:hAnchor="page" w:x="1377" w:y="1704"/>
        <w:shd w:val="clear" w:color="auto" w:fill="auto"/>
        <w:spacing w:after="0"/>
        <w:jc w:val="both"/>
        <w:rPr>
          <w:lang w:val="en-GB"/>
        </w:rPr>
      </w:pPr>
      <w:r w:rsidRPr="00C5244F">
        <w:rPr>
          <w:lang w:val="en-GB"/>
        </w:rPr>
        <w:t xml:space="preserve">On this basis, the Supervisory Board assesses that the Company's </w:t>
      </w:r>
      <w:r w:rsidR="00505DD3">
        <w:rPr>
          <w:lang w:val="en-GB"/>
        </w:rPr>
        <w:t>position</w:t>
      </w:r>
      <w:r w:rsidRPr="00C5244F">
        <w:rPr>
          <w:lang w:val="en-GB"/>
        </w:rPr>
        <w:t xml:space="preserve"> i</w:t>
      </w:r>
      <w:r w:rsidR="003349A2">
        <w:rPr>
          <w:lang w:val="en-GB"/>
        </w:rPr>
        <w:t xml:space="preserve">s stable and poses no threat to </w:t>
      </w:r>
      <w:r w:rsidRPr="00C5244F">
        <w:rPr>
          <w:lang w:val="en-GB"/>
        </w:rPr>
        <w:t>further development of the Company and the Capital Group.</w:t>
      </w:r>
    </w:p>
    <w:p w:rsidR="0090007A" w:rsidRPr="00C5244F" w:rsidRDefault="0090007A">
      <w:pPr>
        <w:spacing w:line="1" w:lineRule="exact"/>
        <w:rPr>
          <w:lang w:val="en-GB"/>
        </w:rPr>
        <w:sectPr w:rsidR="0090007A" w:rsidRPr="00C5244F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007A" w:rsidRPr="00C5244F" w:rsidRDefault="0090007A">
      <w:pPr>
        <w:spacing w:line="1" w:lineRule="exact"/>
        <w:rPr>
          <w:lang w:val="en-GB"/>
        </w:rPr>
      </w:pPr>
    </w:p>
    <w:p w:rsidR="0090007A" w:rsidRPr="00C5244F" w:rsidRDefault="00D42A96" w:rsidP="00926C64">
      <w:pPr>
        <w:pStyle w:val="Teksttreci0"/>
        <w:framePr w:w="9154" w:h="13594" w:hRule="exact" w:wrap="none" w:vAnchor="page" w:hAnchor="page" w:x="1396" w:y="1711"/>
        <w:shd w:val="clear" w:color="auto" w:fill="auto"/>
        <w:spacing w:line="276" w:lineRule="auto"/>
        <w:jc w:val="both"/>
        <w:rPr>
          <w:lang w:val="en-GB"/>
        </w:rPr>
      </w:pPr>
      <w:r>
        <w:rPr>
          <w:lang w:val="en-GB"/>
        </w:rPr>
        <w:t xml:space="preserve">The </w:t>
      </w:r>
      <w:r w:rsidR="00C70E31" w:rsidRPr="00C5244F">
        <w:rPr>
          <w:lang w:val="en-GB"/>
        </w:rPr>
        <w:t xml:space="preserve">Supervisory Board, in cooperation with </w:t>
      </w:r>
      <w:r w:rsidR="00926C64">
        <w:rPr>
          <w:lang w:val="en-GB"/>
        </w:rPr>
        <w:t xml:space="preserve">the Company's </w:t>
      </w:r>
      <w:r>
        <w:rPr>
          <w:lang w:val="en-GB"/>
        </w:rPr>
        <w:t xml:space="preserve">statutory </w:t>
      </w:r>
      <w:r w:rsidR="00926C64">
        <w:rPr>
          <w:lang w:val="en-GB"/>
        </w:rPr>
        <w:t>auditor, analysed</w:t>
      </w:r>
      <w:r>
        <w:rPr>
          <w:lang w:val="en-GB"/>
        </w:rPr>
        <w:t xml:space="preserve"> the</w:t>
      </w:r>
      <w:r w:rsidR="00926C64">
        <w:rPr>
          <w:lang w:val="en-GB"/>
        </w:rPr>
        <w:t xml:space="preserve"> </w:t>
      </w:r>
      <w:r w:rsidR="00C70E31" w:rsidRPr="00C5244F">
        <w:rPr>
          <w:lang w:val="en-GB"/>
        </w:rPr>
        <w:t>internal</w:t>
      </w:r>
      <w:r w:rsidR="00926C64">
        <w:rPr>
          <w:lang w:val="en-GB"/>
        </w:rPr>
        <w:t xml:space="preserve"> </w:t>
      </w:r>
      <w:r w:rsidR="00C70E31" w:rsidRPr="00C5244F">
        <w:rPr>
          <w:lang w:val="en-GB"/>
        </w:rPr>
        <w:t>control</w:t>
      </w:r>
      <w:r w:rsidR="00926C64">
        <w:rPr>
          <w:lang w:val="en-GB"/>
        </w:rPr>
        <w:t xml:space="preserve"> </w:t>
      </w:r>
      <w:r w:rsidR="00C70E31" w:rsidRPr="00C5244F">
        <w:rPr>
          <w:lang w:val="en-GB"/>
        </w:rPr>
        <w:t>and risk management</w:t>
      </w:r>
      <w:r w:rsidR="00926C64">
        <w:rPr>
          <w:lang w:val="en-GB"/>
        </w:rPr>
        <w:t xml:space="preserve"> </w:t>
      </w:r>
      <w:r w:rsidR="00C70E31" w:rsidRPr="00C5244F">
        <w:rPr>
          <w:lang w:val="en-GB"/>
        </w:rPr>
        <w:t>system</w:t>
      </w:r>
      <w:r w:rsidR="00926C64">
        <w:rPr>
          <w:lang w:val="en-GB"/>
        </w:rPr>
        <w:t xml:space="preserve"> </w:t>
      </w:r>
      <w:r w:rsidR="00C70E31" w:rsidRPr="00C5244F">
        <w:rPr>
          <w:lang w:val="en-GB"/>
        </w:rPr>
        <w:t>operating in the Company in the following areas:</w:t>
      </w:r>
    </w:p>
    <w:p w:rsidR="0090007A" w:rsidRPr="00C5244F" w:rsidRDefault="00C70E31" w:rsidP="00926C64">
      <w:pPr>
        <w:pStyle w:val="Teksttreci0"/>
        <w:framePr w:w="9154" w:h="13594" w:hRule="exact" w:wrap="none" w:vAnchor="page" w:hAnchor="page" w:x="1396" w:y="1711"/>
        <w:numPr>
          <w:ilvl w:val="0"/>
          <w:numId w:val="5"/>
        </w:numPr>
        <w:shd w:val="clear" w:color="auto" w:fill="auto"/>
        <w:tabs>
          <w:tab w:val="left" w:pos="695"/>
        </w:tabs>
        <w:spacing w:after="0"/>
        <w:ind w:left="740" w:hanging="740"/>
        <w:rPr>
          <w:lang w:val="en-GB"/>
        </w:rPr>
      </w:pPr>
      <w:r w:rsidRPr="00C5244F">
        <w:rPr>
          <w:lang w:val="en-GB"/>
        </w:rPr>
        <w:t>organisation of management processes and distribution of compete</w:t>
      </w:r>
      <w:r w:rsidR="00D42A96">
        <w:rPr>
          <w:lang w:val="en-GB"/>
        </w:rPr>
        <w:t xml:space="preserve">nces related to decision-making </w:t>
      </w:r>
      <w:r w:rsidRPr="00C5244F">
        <w:rPr>
          <w:lang w:val="en-GB"/>
        </w:rPr>
        <w:t>and their recording;</w:t>
      </w:r>
    </w:p>
    <w:p w:rsidR="0090007A" w:rsidRPr="00C5244F" w:rsidRDefault="00C70E31" w:rsidP="00926C64">
      <w:pPr>
        <w:pStyle w:val="Teksttreci0"/>
        <w:framePr w:w="9154" w:h="13594" w:hRule="exact" w:wrap="none" w:vAnchor="page" w:hAnchor="page" w:x="1396" w:y="1711"/>
        <w:numPr>
          <w:ilvl w:val="0"/>
          <w:numId w:val="5"/>
        </w:numPr>
        <w:shd w:val="clear" w:color="auto" w:fill="auto"/>
        <w:tabs>
          <w:tab w:val="left" w:pos="695"/>
        </w:tabs>
        <w:spacing w:after="0"/>
        <w:rPr>
          <w:lang w:val="en-GB"/>
        </w:rPr>
      </w:pPr>
      <w:r w:rsidRPr="00C5244F">
        <w:rPr>
          <w:lang w:val="en-GB"/>
        </w:rPr>
        <w:t>information systems;</w:t>
      </w:r>
    </w:p>
    <w:p w:rsidR="0090007A" w:rsidRPr="00C5244F" w:rsidRDefault="00C70E31" w:rsidP="00926C64">
      <w:pPr>
        <w:pStyle w:val="Teksttreci0"/>
        <w:framePr w:w="9154" w:h="13594" w:hRule="exact" w:wrap="none" w:vAnchor="page" w:hAnchor="page" w:x="1396" w:y="1711"/>
        <w:numPr>
          <w:ilvl w:val="0"/>
          <w:numId w:val="5"/>
        </w:numPr>
        <w:shd w:val="clear" w:color="auto" w:fill="auto"/>
        <w:tabs>
          <w:tab w:val="left" w:pos="695"/>
        </w:tabs>
        <w:rPr>
          <w:lang w:val="en-GB"/>
        </w:rPr>
      </w:pPr>
      <w:r w:rsidRPr="00C5244F">
        <w:rPr>
          <w:lang w:val="en-GB"/>
        </w:rPr>
        <w:t>financial reporting systems.</w:t>
      </w:r>
    </w:p>
    <w:p w:rsidR="0090007A" w:rsidRPr="00C5244F" w:rsidRDefault="00C70E31" w:rsidP="00926C64">
      <w:pPr>
        <w:pStyle w:val="Teksttreci0"/>
        <w:framePr w:w="9154" w:h="13594" w:hRule="exact" w:wrap="none" w:vAnchor="page" w:hAnchor="page" w:x="1396" w:y="1711"/>
        <w:shd w:val="clear" w:color="auto" w:fill="auto"/>
        <w:spacing w:after="300"/>
        <w:jc w:val="both"/>
        <w:rPr>
          <w:lang w:val="en-GB"/>
        </w:rPr>
      </w:pPr>
      <w:r w:rsidRPr="00C5244F">
        <w:rPr>
          <w:lang w:val="en-GB"/>
        </w:rPr>
        <w:t>On the basis of the work carried out, the Supervisory Board assessed</w:t>
      </w:r>
      <w:r w:rsidR="00926C64">
        <w:rPr>
          <w:lang w:val="en-GB"/>
        </w:rPr>
        <w:t xml:space="preserve"> internal control and risk </w:t>
      </w:r>
      <w:r w:rsidRPr="00C5244F">
        <w:rPr>
          <w:lang w:val="en-GB"/>
        </w:rPr>
        <w:t>management systems</w:t>
      </w:r>
      <w:r w:rsidR="00926C64">
        <w:rPr>
          <w:lang w:val="en-GB"/>
        </w:rPr>
        <w:t xml:space="preserve"> applied in the Company, finding that they allow to monitor potential risks and </w:t>
      </w:r>
      <w:r w:rsidRPr="00C5244F">
        <w:rPr>
          <w:lang w:val="en-GB"/>
        </w:rPr>
        <w:t>effectively take the</w:t>
      </w:r>
      <w:r w:rsidR="00926C64">
        <w:rPr>
          <w:lang w:val="en-GB"/>
        </w:rPr>
        <w:t xml:space="preserve"> necessary preventive measures, </w:t>
      </w:r>
      <w:r w:rsidRPr="00C5244F">
        <w:rPr>
          <w:lang w:val="en-GB"/>
        </w:rPr>
        <w:t>to protect or limit the effects of</w:t>
      </w:r>
      <w:r w:rsidRPr="00C5244F">
        <w:rPr>
          <w:lang w:val="en-GB"/>
        </w:rPr>
        <w:br/>
        <w:t>such risks</w:t>
      </w:r>
      <w:r w:rsidR="00926C64">
        <w:rPr>
          <w:lang w:val="en-GB"/>
        </w:rPr>
        <w:t>.</w:t>
      </w:r>
    </w:p>
    <w:p w:rsidR="0090007A" w:rsidRPr="00C5244F" w:rsidRDefault="00C70E31" w:rsidP="00926C64">
      <w:pPr>
        <w:pStyle w:val="Teksttreci0"/>
        <w:framePr w:w="9154" w:h="13594" w:hRule="exact" w:wrap="none" w:vAnchor="page" w:hAnchor="page" w:x="1396" w:y="1711"/>
        <w:shd w:val="clear" w:color="auto" w:fill="auto"/>
        <w:jc w:val="both"/>
        <w:rPr>
          <w:lang w:val="en-GB"/>
        </w:rPr>
      </w:pPr>
      <w:r w:rsidRPr="00C5244F">
        <w:rPr>
          <w:lang w:val="en-GB"/>
        </w:rPr>
        <w:t>In connection with the content of Resolution No. 13/1834/2021</w:t>
      </w:r>
      <w:r w:rsidR="00926C64">
        <w:rPr>
          <w:lang w:val="en-GB"/>
        </w:rPr>
        <w:t xml:space="preserve"> </w:t>
      </w:r>
      <w:r w:rsidRPr="00C5244F">
        <w:rPr>
          <w:lang w:val="en-GB"/>
        </w:rPr>
        <w:t>of</w:t>
      </w:r>
      <w:r w:rsidR="00926C64">
        <w:rPr>
          <w:lang w:val="en-GB"/>
        </w:rPr>
        <w:t xml:space="preserve"> </w:t>
      </w:r>
      <w:r w:rsidR="00D42A96">
        <w:rPr>
          <w:lang w:val="en-GB"/>
        </w:rPr>
        <w:t xml:space="preserve">the </w:t>
      </w:r>
      <w:r w:rsidRPr="00C5244F">
        <w:rPr>
          <w:lang w:val="en-GB"/>
        </w:rPr>
        <w:t>Supervisory</w:t>
      </w:r>
      <w:r w:rsidR="00926C64">
        <w:rPr>
          <w:lang w:val="en-GB"/>
        </w:rPr>
        <w:t xml:space="preserve"> Board of the</w:t>
      </w:r>
      <w:r w:rsidR="00D42A96" w:rsidRPr="00050388">
        <w:rPr>
          <w:lang w:val="en-US"/>
        </w:rPr>
        <w:t xml:space="preserve"> </w:t>
      </w:r>
      <w:r w:rsidR="00D42A96" w:rsidRPr="00D42A96">
        <w:rPr>
          <w:lang w:val="en-GB"/>
        </w:rPr>
        <w:t>Warsaw Stock Exchange</w:t>
      </w:r>
      <w:r w:rsidRPr="00C5244F">
        <w:rPr>
          <w:lang w:val="en-GB"/>
        </w:rPr>
        <w:t xml:space="preserve"> of 29 March 2021 concerning the adoption </w:t>
      </w:r>
      <w:r w:rsidR="00926C64">
        <w:rPr>
          <w:lang w:val="en-GB"/>
        </w:rPr>
        <w:t>of the document "</w:t>
      </w:r>
      <w:r w:rsidR="00D42A96" w:rsidRPr="00050388">
        <w:rPr>
          <w:lang w:val="en-US"/>
        </w:rPr>
        <w:t xml:space="preserve">Good </w:t>
      </w:r>
      <w:r w:rsidR="00D42A96" w:rsidRPr="00D42A96">
        <w:rPr>
          <w:lang w:val="en-GB"/>
        </w:rPr>
        <w:t>Practice</w:t>
      </w:r>
      <w:r w:rsidR="00D42A96">
        <w:rPr>
          <w:lang w:val="en-GB"/>
        </w:rPr>
        <w:t>s</w:t>
      </w:r>
      <w:r w:rsidR="00D42A96" w:rsidRPr="00D42A96">
        <w:rPr>
          <w:lang w:val="en-GB"/>
        </w:rPr>
        <w:t xml:space="preserve"> for WSE Listed Companies 202</w:t>
      </w:r>
      <w:r w:rsidRPr="00C5244F">
        <w:rPr>
          <w:lang w:val="en-GB"/>
        </w:rPr>
        <w:t>1", the content of the Company</w:t>
      </w:r>
      <w:r w:rsidR="00926C64">
        <w:rPr>
          <w:lang w:val="en-GB"/>
        </w:rPr>
        <w:t xml:space="preserve">'s information on the status of </w:t>
      </w:r>
      <w:r w:rsidRPr="00C5244F">
        <w:rPr>
          <w:lang w:val="en-GB"/>
        </w:rPr>
        <w:t>application by the Company</w:t>
      </w:r>
      <w:r w:rsidR="00D42A96">
        <w:rPr>
          <w:lang w:val="en-GB"/>
        </w:rPr>
        <w:t xml:space="preserve"> of the principles included</w:t>
      </w:r>
      <w:r w:rsidR="00926C64">
        <w:rPr>
          <w:lang w:val="en-GB"/>
        </w:rPr>
        <w:t xml:space="preserve"> in </w:t>
      </w:r>
      <w:r w:rsidRPr="00C5244F">
        <w:rPr>
          <w:lang w:val="en-GB"/>
        </w:rPr>
        <w:t xml:space="preserve">Collection of Good Practices </w:t>
      </w:r>
      <w:r w:rsidR="00D42A96" w:rsidRPr="00D42A96">
        <w:rPr>
          <w:lang w:val="en-GB"/>
        </w:rPr>
        <w:t>for WSE Listed Companies 202</w:t>
      </w:r>
      <w:r w:rsidR="00D42A96" w:rsidRPr="00C5244F">
        <w:rPr>
          <w:lang w:val="en-GB"/>
        </w:rPr>
        <w:t>1</w:t>
      </w:r>
      <w:r w:rsidRPr="00C5244F">
        <w:rPr>
          <w:lang w:val="en-GB"/>
        </w:rPr>
        <w:t xml:space="preserve"> of </w:t>
      </w:r>
      <w:r w:rsidR="00926C64">
        <w:rPr>
          <w:lang w:val="en-GB"/>
        </w:rPr>
        <w:t xml:space="preserve">2 August 2021 and the statement </w:t>
      </w:r>
      <w:r w:rsidRPr="00C5244F">
        <w:rPr>
          <w:lang w:val="en-GB"/>
        </w:rPr>
        <w:t>of the Com</w:t>
      </w:r>
      <w:r w:rsidR="00D42A96">
        <w:rPr>
          <w:lang w:val="en-GB"/>
        </w:rPr>
        <w:t xml:space="preserve">pany submitted in this document </w:t>
      </w:r>
      <w:r w:rsidRPr="00C5244F">
        <w:rPr>
          <w:lang w:val="en-GB"/>
        </w:rPr>
        <w:t xml:space="preserve">regarding the application of principle 2.11, the Supervisory </w:t>
      </w:r>
      <w:r w:rsidR="00D42A96">
        <w:rPr>
          <w:lang w:val="en-GB"/>
        </w:rPr>
        <w:t xml:space="preserve">Board </w:t>
      </w:r>
      <w:r w:rsidRPr="00C5244F">
        <w:rPr>
          <w:lang w:val="en-GB"/>
        </w:rPr>
        <w:t xml:space="preserve">assessed the </w:t>
      </w:r>
      <w:r w:rsidR="00505DD3">
        <w:rPr>
          <w:lang w:val="en-GB"/>
        </w:rPr>
        <w:t>position</w:t>
      </w:r>
      <w:r w:rsidRPr="00C5244F">
        <w:rPr>
          <w:lang w:val="en-GB"/>
        </w:rPr>
        <w:t xml:space="preserve"> of the Company on a consolidated basis, taking into accou</w:t>
      </w:r>
      <w:r w:rsidR="00926C64">
        <w:rPr>
          <w:lang w:val="en-GB"/>
        </w:rPr>
        <w:t xml:space="preserve">nt the internal control system, </w:t>
      </w:r>
      <w:r w:rsidR="00D42A96">
        <w:rPr>
          <w:lang w:val="en-GB"/>
        </w:rPr>
        <w:t xml:space="preserve">risk management, </w:t>
      </w:r>
      <w:r w:rsidRPr="00C5244F">
        <w:rPr>
          <w:lang w:val="en-GB"/>
        </w:rPr>
        <w:t>compliance and the internal audit fu</w:t>
      </w:r>
      <w:r w:rsidR="00D42A96">
        <w:rPr>
          <w:lang w:val="en-GB"/>
        </w:rPr>
        <w:t xml:space="preserve">nction, financial reporting and </w:t>
      </w:r>
      <w:r w:rsidRPr="00C5244F">
        <w:rPr>
          <w:lang w:val="en-GB"/>
        </w:rPr>
        <w:t>operations</w:t>
      </w:r>
      <w:r w:rsidR="00926C64">
        <w:rPr>
          <w:lang w:val="en-GB"/>
        </w:rPr>
        <w:t xml:space="preserve"> </w:t>
      </w:r>
      <w:r w:rsidRPr="00C5244F">
        <w:rPr>
          <w:lang w:val="en-GB"/>
        </w:rPr>
        <w:t>company's application of the principles of corp</w:t>
      </w:r>
      <w:r w:rsidR="00D42A96">
        <w:rPr>
          <w:lang w:val="en-GB"/>
        </w:rPr>
        <w:t xml:space="preserve">orate governance and the manner </w:t>
      </w:r>
      <w:r w:rsidRPr="00C5244F">
        <w:rPr>
          <w:lang w:val="en-GB"/>
        </w:rPr>
        <w:t>of fulfilling the information obligations concerning their applicati</w:t>
      </w:r>
      <w:r w:rsidR="00D42A96">
        <w:rPr>
          <w:lang w:val="en-GB"/>
        </w:rPr>
        <w:t xml:space="preserve">on </w:t>
      </w:r>
      <w:r w:rsidR="009862E5">
        <w:rPr>
          <w:lang w:val="en-GB"/>
        </w:rPr>
        <w:t xml:space="preserve">specified </w:t>
      </w:r>
      <w:r w:rsidR="00D42A96">
        <w:rPr>
          <w:lang w:val="en-GB"/>
        </w:rPr>
        <w:t xml:space="preserve">in the </w:t>
      </w:r>
      <w:r w:rsidR="005843B7">
        <w:rPr>
          <w:lang w:val="en-GB"/>
        </w:rPr>
        <w:t xml:space="preserve">Stock Exchange Regulations </w:t>
      </w:r>
      <w:r w:rsidRPr="00C5244F">
        <w:rPr>
          <w:lang w:val="en-GB"/>
        </w:rPr>
        <w:t>and the regulations concerning current and p</w:t>
      </w:r>
      <w:r w:rsidR="00D42A96">
        <w:rPr>
          <w:lang w:val="en-GB"/>
        </w:rPr>
        <w:t xml:space="preserve">eriodic information provided by </w:t>
      </w:r>
      <w:r w:rsidRPr="00C5244F">
        <w:rPr>
          <w:lang w:val="en-GB"/>
        </w:rPr>
        <w:t>issuers of</w:t>
      </w:r>
      <w:r w:rsidR="00926C64">
        <w:rPr>
          <w:lang w:val="en-GB"/>
        </w:rPr>
        <w:t xml:space="preserve"> </w:t>
      </w:r>
      <w:r w:rsidRPr="00C5244F">
        <w:rPr>
          <w:lang w:val="en-GB"/>
        </w:rPr>
        <w:t>together with information on the actions ta</w:t>
      </w:r>
      <w:r w:rsidR="00D42A96">
        <w:rPr>
          <w:lang w:val="en-GB"/>
        </w:rPr>
        <w:t xml:space="preserve">ken by the Supervisory Board in </w:t>
      </w:r>
      <w:r w:rsidRPr="00C5244F">
        <w:rPr>
          <w:lang w:val="en-GB"/>
        </w:rPr>
        <w:t xml:space="preserve">order to perform this </w:t>
      </w:r>
      <w:r w:rsidR="009862E5">
        <w:rPr>
          <w:lang w:val="en-GB"/>
        </w:rPr>
        <w:t>assessment.</w:t>
      </w:r>
    </w:p>
    <w:p w:rsidR="0090007A" w:rsidRPr="00C5244F" w:rsidRDefault="00C70E31" w:rsidP="00926C64">
      <w:pPr>
        <w:pStyle w:val="Nagwek10"/>
        <w:framePr w:w="9154" w:h="13594" w:hRule="exact" w:wrap="none" w:vAnchor="page" w:hAnchor="page" w:x="1396" w:y="1711"/>
        <w:shd w:val="clear" w:color="auto" w:fill="auto"/>
        <w:jc w:val="both"/>
        <w:rPr>
          <w:lang w:val="en-GB"/>
        </w:rPr>
      </w:pPr>
      <w:bookmarkStart w:id="1" w:name="bookmark0"/>
      <w:bookmarkStart w:id="2" w:name="bookmark1"/>
      <w:r w:rsidRPr="00C5244F">
        <w:rPr>
          <w:lang w:val="en-GB"/>
        </w:rPr>
        <w:t xml:space="preserve">1. </w:t>
      </w:r>
      <w:r w:rsidR="00D42A96">
        <w:rPr>
          <w:lang w:val="en-GB"/>
        </w:rPr>
        <w:t>I</w:t>
      </w:r>
      <w:r w:rsidRPr="00C5244F">
        <w:rPr>
          <w:lang w:val="en-GB"/>
        </w:rPr>
        <w:t>nternal control system</w:t>
      </w:r>
      <w:bookmarkEnd w:id="1"/>
      <w:bookmarkEnd w:id="2"/>
    </w:p>
    <w:p w:rsidR="0090007A" w:rsidRPr="00C5244F" w:rsidRDefault="00C70E31" w:rsidP="00926C64">
      <w:pPr>
        <w:pStyle w:val="Teksttreci0"/>
        <w:framePr w:w="9154" w:h="13594" w:hRule="exact" w:wrap="none" w:vAnchor="page" w:hAnchor="page" w:x="1396" w:y="1711"/>
        <w:shd w:val="clear" w:color="auto" w:fill="auto"/>
        <w:spacing w:after="0" w:line="276" w:lineRule="auto"/>
        <w:jc w:val="both"/>
        <w:rPr>
          <w:lang w:val="en-GB"/>
        </w:rPr>
      </w:pPr>
      <w:r w:rsidRPr="00C5244F">
        <w:rPr>
          <w:lang w:val="en-GB"/>
        </w:rPr>
        <w:t xml:space="preserve">The Company has a system of internal control. </w:t>
      </w:r>
      <w:r w:rsidR="009862E5">
        <w:rPr>
          <w:lang w:val="en-GB"/>
        </w:rPr>
        <w:t xml:space="preserve">Due to the </w:t>
      </w:r>
      <w:r w:rsidRPr="00C5244F">
        <w:rPr>
          <w:lang w:val="en-GB"/>
        </w:rPr>
        <w:t>adopted organ</w:t>
      </w:r>
      <w:r w:rsidR="00D42A96">
        <w:rPr>
          <w:lang w:val="en-GB"/>
        </w:rPr>
        <w:t xml:space="preserve">isational structure, the system </w:t>
      </w:r>
      <w:r w:rsidRPr="00C5244F">
        <w:rPr>
          <w:lang w:val="en-GB"/>
        </w:rPr>
        <w:t xml:space="preserve">of internal control is based on the management </w:t>
      </w:r>
      <w:r w:rsidR="009862E5">
        <w:rPr>
          <w:lang w:val="en-GB"/>
        </w:rPr>
        <w:t xml:space="preserve">staff </w:t>
      </w:r>
      <w:r w:rsidRPr="00C5244F">
        <w:rPr>
          <w:lang w:val="en-GB"/>
        </w:rPr>
        <w:t>o</w:t>
      </w:r>
      <w:r w:rsidR="00D42A96">
        <w:rPr>
          <w:lang w:val="en-GB"/>
        </w:rPr>
        <w:t xml:space="preserve">f individual departments in the </w:t>
      </w:r>
      <w:r w:rsidRPr="00C5244F">
        <w:rPr>
          <w:lang w:val="en-GB"/>
        </w:rPr>
        <w:t>organisational</w:t>
      </w:r>
      <w:r w:rsidR="00D42A96">
        <w:rPr>
          <w:lang w:val="en-GB"/>
        </w:rPr>
        <w:t xml:space="preserve"> </w:t>
      </w:r>
      <w:r w:rsidRPr="00C5244F">
        <w:rPr>
          <w:lang w:val="en-GB"/>
        </w:rPr>
        <w:t>structure</w:t>
      </w:r>
      <w:r w:rsidR="00D42A96">
        <w:rPr>
          <w:lang w:val="en-GB"/>
        </w:rPr>
        <w:t xml:space="preserve"> </w:t>
      </w:r>
      <w:r w:rsidRPr="00C5244F">
        <w:rPr>
          <w:lang w:val="en-GB"/>
        </w:rPr>
        <w:t>with the leading role of the Management Board.</w:t>
      </w:r>
      <w:r w:rsidR="00D42A96">
        <w:rPr>
          <w:lang w:val="en-GB"/>
        </w:rPr>
        <w:t xml:space="preserve"> </w:t>
      </w:r>
      <w:r w:rsidRPr="00C5244F">
        <w:rPr>
          <w:lang w:val="en-GB"/>
        </w:rPr>
        <w:t>The internal control system cover</w:t>
      </w:r>
      <w:r w:rsidR="00D42A96">
        <w:rPr>
          <w:lang w:val="en-GB"/>
        </w:rPr>
        <w:t xml:space="preserve">s the most important categories </w:t>
      </w:r>
      <w:r w:rsidRPr="00C5244F">
        <w:rPr>
          <w:lang w:val="en-GB"/>
        </w:rPr>
        <w:t>of operational effectiveness and efficiency, reliability of financial</w:t>
      </w:r>
      <w:r w:rsidR="00D42A96">
        <w:rPr>
          <w:lang w:val="en-GB"/>
        </w:rPr>
        <w:t xml:space="preserve"> statements and compliance with </w:t>
      </w:r>
      <w:r w:rsidRPr="00C5244F">
        <w:rPr>
          <w:lang w:val="en-GB"/>
        </w:rPr>
        <w:t>laws and other regulations.</w:t>
      </w:r>
    </w:p>
    <w:p w:rsidR="0090007A" w:rsidRPr="00C5244F" w:rsidRDefault="009862E5" w:rsidP="00D42A96">
      <w:pPr>
        <w:pStyle w:val="Teksttreci0"/>
        <w:framePr w:w="9154" w:h="13594" w:hRule="exact" w:wrap="none" w:vAnchor="page" w:hAnchor="page" w:x="1396" w:y="1711"/>
        <w:shd w:val="clear" w:color="auto" w:fill="auto"/>
        <w:spacing w:after="0" w:line="276" w:lineRule="auto"/>
        <w:jc w:val="both"/>
        <w:rPr>
          <w:lang w:val="en-GB"/>
        </w:rPr>
      </w:pPr>
      <w:r>
        <w:rPr>
          <w:lang w:val="en-GB"/>
        </w:rPr>
        <w:t>The Company, due</w:t>
      </w:r>
      <w:r w:rsidR="00C70E31" w:rsidRPr="00C5244F">
        <w:rPr>
          <w:lang w:val="en-GB"/>
        </w:rPr>
        <w:t xml:space="preserve"> to the structure created by the Management Board,</w:t>
      </w:r>
      <w:r w:rsidR="00D42A96">
        <w:rPr>
          <w:lang w:val="en-GB"/>
        </w:rPr>
        <w:t xml:space="preserve"> effectively performs the tasks </w:t>
      </w:r>
      <w:r w:rsidR="00C70E31" w:rsidRPr="00C5244F">
        <w:rPr>
          <w:lang w:val="en-GB"/>
        </w:rPr>
        <w:t>in the aforementioned categories.</w:t>
      </w:r>
      <w:r w:rsidR="00D42A96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="00C70E31" w:rsidRPr="00C5244F">
        <w:rPr>
          <w:lang w:val="en-GB"/>
        </w:rPr>
        <w:t>Supervisory</w:t>
      </w:r>
      <w:r w:rsidR="00D42A96">
        <w:rPr>
          <w:lang w:val="en-GB"/>
        </w:rPr>
        <w:t xml:space="preserve"> </w:t>
      </w:r>
      <w:r w:rsidR="00C70E31" w:rsidRPr="00C5244F">
        <w:rPr>
          <w:lang w:val="en-GB"/>
        </w:rPr>
        <w:t>Board</w:t>
      </w:r>
      <w:r w:rsidR="00D42A96">
        <w:rPr>
          <w:lang w:val="en-GB"/>
        </w:rPr>
        <w:t xml:space="preserve"> </w:t>
      </w:r>
      <w:r w:rsidR="00C70E31" w:rsidRPr="00C5244F">
        <w:rPr>
          <w:lang w:val="en-GB"/>
        </w:rPr>
        <w:t>conducts ongoing monitoring of i</w:t>
      </w:r>
      <w:r w:rsidR="00D42A96">
        <w:rPr>
          <w:lang w:val="en-GB"/>
        </w:rPr>
        <w:t xml:space="preserve">nternal controls and procedures </w:t>
      </w:r>
      <w:r w:rsidR="00C70E31" w:rsidRPr="00C5244F">
        <w:rPr>
          <w:lang w:val="en-GB"/>
        </w:rPr>
        <w:t>identify</w:t>
      </w:r>
      <w:r>
        <w:rPr>
          <w:lang w:val="en-GB"/>
        </w:rPr>
        <w:t>ing</w:t>
      </w:r>
      <w:r w:rsidR="00C70E31" w:rsidRPr="00C5244F">
        <w:rPr>
          <w:lang w:val="en-GB"/>
        </w:rPr>
        <w:t xml:space="preserve"> and</w:t>
      </w:r>
      <w:r w:rsidR="00D42A96">
        <w:rPr>
          <w:lang w:val="en-GB"/>
        </w:rPr>
        <w:t xml:space="preserve"> </w:t>
      </w:r>
      <w:r w:rsidR="00C70E31" w:rsidRPr="00C5244F">
        <w:rPr>
          <w:lang w:val="en-GB"/>
        </w:rPr>
        <w:t>minimising the risks associated with the Company's operatio</w:t>
      </w:r>
      <w:r w:rsidR="00D42A96">
        <w:rPr>
          <w:lang w:val="en-GB"/>
        </w:rPr>
        <w:t xml:space="preserve">ns, while the Supervisory Board </w:t>
      </w:r>
      <w:r w:rsidR="00C70E31" w:rsidRPr="00C5244F">
        <w:rPr>
          <w:lang w:val="en-GB"/>
        </w:rPr>
        <w:t>positively</w:t>
      </w:r>
      <w:r w:rsidR="00D42A96">
        <w:rPr>
          <w:lang w:val="en-GB"/>
        </w:rPr>
        <w:t xml:space="preserve"> </w:t>
      </w:r>
      <w:r w:rsidR="00C70E31" w:rsidRPr="00C5244F">
        <w:rPr>
          <w:lang w:val="en-GB"/>
        </w:rPr>
        <w:t>assesses the assumptions made by the Management Board in this regard.</w:t>
      </w:r>
    </w:p>
    <w:p w:rsidR="0090007A" w:rsidRPr="00C5244F" w:rsidRDefault="00C70E31" w:rsidP="00926C64">
      <w:pPr>
        <w:pStyle w:val="Nagwek10"/>
        <w:framePr w:w="9154" w:h="13594" w:hRule="exact" w:wrap="none" w:vAnchor="page" w:hAnchor="page" w:x="1396" w:y="1711"/>
        <w:numPr>
          <w:ilvl w:val="0"/>
          <w:numId w:val="6"/>
        </w:numPr>
        <w:shd w:val="clear" w:color="auto" w:fill="auto"/>
        <w:tabs>
          <w:tab w:val="left" w:pos="695"/>
        </w:tabs>
        <w:jc w:val="both"/>
        <w:rPr>
          <w:lang w:val="en-GB"/>
        </w:rPr>
      </w:pPr>
      <w:bookmarkStart w:id="3" w:name="bookmark2"/>
      <w:bookmarkStart w:id="4" w:name="bookmark3"/>
      <w:r w:rsidRPr="00C5244F">
        <w:rPr>
          <w:lang w:val="en-GB"/>
        </w:rPr>
        <w:t>Risk management</w:t>
      </w:r>
      <w:bookmarkEnd w:id="3"/>
      <w:bookmarkEnd w:id="4"/>
    </w:p>
    <w:p w:rsidR="0090007A" w:rsidRPr="00C5244F" w:rsidRDefault="00C70E31" w:rsidP="00926C64">
      <w:pPr>
        <w:pStyle w:val="Teksttreci0"/>
        <w:framePr w:w="9154" w:h="13594" w:hRule="exact" w:wrap="none" w:vAnchor="page" w:hAnchor="page" w:x="1396" w:y="1711"/>
        <w:shd w:val="clear" w:color="auto" w:fill="auto"/>
        <w:spacing w:after="0"/>
        <w:jc w:val="both"/>
        <w:rPr>
          <w:lang w:val="en-GB"/>
        </w:rPr>
      </w:pPr>
      <w:r w:rsidRPr="00C5244F">
        <w:rPr>
          <w:lang w:val="en-GB"/>
        </w:rPr>
        <w:t>The Company's risk management system is based on an established organis</w:t>
      </w:r>
      <w:r w:rsidR="00D42A96">
        <w:rPr>
          <w:lang w:val="en-GB"/>
        </w:rPr>
        <w:t xml:space="preserve">ational structure consisting of </w:t>
      </w:r>
      <w:r w:rsidRPr="00C5244F">
        <w:rPr>
          <w:lang w:val="en-GB"/>
        </w:rPr>
        <w:t>specialised organisational units whose task is to identify potential</w:t>
      </w:r>
    </w:p>
    <w:p w:rsidR="0090007A" w:rsidRPr="00C5244F" w:rsidRDefault="0090007A">
      <w:pPr>
        <w:spacing w:line="1" w:lineRule="exact"/>
        <w:rPr>
          <w:lang w:val="en-GB"/>
        </w:rPr>
        <w:sectPr w:rsidR="0090007A" w:rsidRPr="00C5244F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007A" w:rsidRPr="00C5244F" w:rsidRDefault="0090007A">
      <w:pPr>
        <w:spacing w:line="1" w:lineRule="exact"/>
        <w:rPr>
          <w:lang w:val="en-GB"/>
        </w:rPr>
      </w:pPr>
    </w:p>
    <w:p w:rsidR="0090007A" w:rsidRPr="00C5244F" w:rsidRDefault="00C70E31" w:rsidP="00DE06DE">
      <w:pPr>
        <w:pStyle w:val="Teksttreci0"/>
        <w:framePr w:w="9154" w:h="14536" w:hRule="exact" w:wrap="none" w:vAnchor="page" w:hAnchor="page" w:x="1377" w:y="1397"/>
        <w:shd w:val="clear" w:color="auto" w:fill="auto"/>
        <w:jc w:val="both"/>
        <w:rPr>
          <w:lang w:val="en-GB"/>
        </w:rPr>
      </w:pPr>
      <w:r w:rsidRPr="00C5244F">
        <w:rPr>
          <w:lang w:val="en-GB"/>
        </w:rPr>
        <w:t>risks, assessment of their impact on individual decision-making processes, monitoring and reporting</w:t>
      </w:r>
      <w:r w:rsidRPr="00C5244F">
        <w:rPr>
          <w:lang w:val="en-GB"/>
        </w:rPr>
        <w:br/>
        <w:t>directly to the Company's Management Board.</w:t>
      </w:r>
      <w:r w:rsidR="009862E5">
        <w:rPr>
          <w:lang w:val="en-GB"/>
        </w:rPr>
        <w:t xml:space="preserve"> </w:t>
      </w:r>
      <w:r w:rsidR="00DE06DE">
        <w:rPr>
          <w:lang w:val="en-GB"/>
        </w:rPr>
        <w:t xml:space="preserve">Due </w:t>
      </w:r>
      <w:r w:rsidRPr="00C5244F">
        <w:rPr>
          <w:lang w:val="en-GB"/>
        </w:rPr>
        <w:t xml:space="preserve">to the implementation of the aforementioned solution in the Company, the Company and the Management Board </w:t>
      </w:r>
      <w:r w:rsidRPr="00C5244F">
        <w:rPr>
          <w:lang w:val="en-GB"/>
        </w:rPr>
        <w:br/>
        <w:t>have effective instruments aimed at minimising potential risks related to</w:t>
      </w:r>
      <w:r w:rsidRPr="00C5244F">
        <w:rPr>
          <w:lang w:val="en-GB"/>
        </w:rPr>
        <w:br/>
        <w:t>Company operations.</w:t>
      </w:r>
      <w:r w:rsidR="00DE06DE">
        <w:rPr>
          <w:lang w:val="en-GB"/>
        </w:rPr>
        <w:t xml:space="preserve"> </w:t>
      </w:r>
      <w:r w:rsidRPr="00C5244F">
        <w:rPr>
          <w:lang w:val="en-GB"/>
        </w:rPr>
        <w:t>At the same time, the Supervisory Board positively eva</w:t>
      </w:r>
      <w:r w:rsidR="00DE06DE">
        <w:rPr>
          <w:lang w:val="en-GB"/>
        </w:rPr>
        <w:t xml:space="preserve">luates the adopted solutions in </w:t>
      </w:r>
      <w:r w:rsidRPr="00C5244F">
        <w:rPr>
          <w:lang w:val="en-GB"/>
        </w:rPr>
        <w:t>discussed scope.</w:t>
      </w:r>
    </w:p>
    <w:p w:rsidR="0090007A" w:rsidRPr="00C5244F" w:rsidRDefault="00C70E31" w:rsidP="00DE06DE">
      <w:pPr>
        <w:pStyle w:val="Nagwek10"/>
        <w:framePr w:w="9154" w:h="14536" w:hRule="exact" w:wrap="none" w:vAnchor="page" w:hAnchor="page" w:x="1377" w:y="1397"/>
        <w:numPr>
          <w:ilvl w:val="0"/>
          <w:numId w:val="6"/>
        </w:numPr>
        <w:shd w:val="clear" w:color="auto" w:fill="auto"/>
        <w:tabs>
          <w:tab w:val="left" w:pos="666"/>
        </w:tabs>
        <w:jc w:val="both"/>
        <w:rPr>
          <w:lang w:val="en-GB"/>
        </w:rPr>
      </w:pPr>
      <w:bookmarkStart w:id="5" w:name="bookmark4"/>
      <w:bookmarkStart w:id="6" w:name="bookmark5"/>
      <w:r w:rsidRPr="00C5244F">
        <w:rPr>
          <w:lang w:val="en-GB"/>
        </w:rPr>
        <w:t xml:space="preserve">Compliance </w:t>
      </w:r>
      <w:bookmarkEnd w:id="5"/>
      <w:bookmarkEnd w:id="6"/>
      <w:r w:rsidR="00DE06DE">
        <w:rPr>
          <w:lang w:val="en-GB"/>
        </w:rPr>
        <w:t>system</w:t>
      </w:r>
    </w:p>
    <w:p w:rsidR="0090007A" w:rsidRPr="00C5244F" w:rsidRDefault="00C70E31" w:rsidP="00DE06DE">
      <w:pPr>
        <w:pStyle w:val="Teksttreci0"/>
        <w:framePr w:w="9154" w:h="14536" w:hRule="exact" w:wrap="none" w:vAnchor="page" w:hAnchor="page" w:x="1377" w:y="1397"/>
        <w:shd w:val="clear" w:color="auto" w:fill="auto"/>
        <w:spacing w:line="276" w:lineRule="auto"/>
        <w:jc w:val="both"/>
        <w:rPr>
          <w:lang w:val="en-GB"/>
        </w:rPr>
      </w:pPr>
      <w:r w:rsidRPr="00C5244F">
        <w:rPr>
          <w:lang w:val="en-GB"/>
        </w:rPr>
        <w:t>In 2020, as part of the Company's organisational structure, a specialised Legal and</w:t>
      </w:r>
      <w:r w:rsidRPr="00C5244F">
        <w:rPr>
          <w:lang w:val="en-GB"/>
        </w:rPr>
        <w:br/>
        <w:t>Compliance</w:t>
      </w:r>
      <w:r w:rsidR="00DE06DE">
        <w:rPr>
          <w:lang w:val="en-GB"/>
        </w:rPr>
        <w:t xml:space="preserve"> </w:t>
      </w:r>
      <w:r w:rsidRPr="00C5244F">
        <w:rPr>
          <w:lang w:val="en-GB"/>
        </w:rPr>
        <w:t>Department was established</w:t>
      </w:r>
      <w:r w:rsidR="00DE06DE">
        <w:rPr>
          <w:lang w:val="en-GB"/>
        </w:rPr>
        <w:t xml:space="preserve"> that is </w:t>
      </w:r>
      <w:r w:rsidRPr="00C5244F">
        <w:rPr>
          <w:lang w:val="en-GB"/>
        </w:rPr>
        <w:t>responsible for comprehensive control and supervision of</w:t>
      </w:r>
      <w:r w:rsidR="00DE06DE">
        <w:rPr>
          <w:lang w:val="en-GB"/>
        </w:rPr>
        <w:t xml:space="preserve"> </w:t>
      </w:r>
      <w:r w:rsidRPr="00C5244F">
        <w:rPr>
          <w:lang w:val="en-GB"/>
        </w:rPr>
        <w:t>the Company</w:t>
      </w:r>
      <w:r w:rsidR="00DE06DE">
        <w:rPr>
          <w:lang w:val="en-GB"/>
        </w:rPr>
        <w:t xml:space="preserve"> business units and </w:t>
      </w:r>
      <w:r w:rsidRPr="00C5244F">
        <w:rPr>
          <w:lang w:val="en-GB"/>
        </w:rPr>
        <w:t>organisational</w:t>
      </w:r>
      <w:r w:rsidR="00DE06DE">
        <w:rPr>
          <w:lang w:val="en-GB"/>
        </w:rPr>
        <w:t xml:space="preserve"> </w:t>
      </w:r>
      <w:r w:rsidRPr="00C5244F">
        <w:rPr>
          <w:lang w:val="en-GB"/>
        </w:rPr>
        <w:t>units</w:t>
      </w:r>
      <w:r w:rsidR="00DE06DE">
        <w:rPr>
          <w:lang w:val="en-GB"/>
        </w:rPr>
        <w:t xml:space="preserve"> </w:t>
      </w:r>
      <w:r w:rsidRPr="00C5244F">
        <w:rPr>
          <w:lang w:val="en-GB"/>
        </w:rPr>
        <w:t xml:space="preserve">regard to their fulfilment of </w:t>
      </w:r>
      <w:r w:rsidR="00DE06DE">
        <w:rPr>
          <w:lang w:val="en-GB"/>
        </w:rPr>
        <w:t xml:space="preserve">obligations related to ensuring </w:t>
      </w:r>
      <w:r w:rsidRPr="00C5244F">
        <w:rPr>
          <w:lang w:val="en-GB"/>
        </w:rPr>
        <w:t>compliance with legal regulations, good market practices, accep</w:t>
      </w:r>
      <w:r w:rsidR="00DE06DE">
        <w:rPr>
          <w:lang w:val="en-GB"/>
        </w:rPr>
        <w:t xml:space="preserve">ted </w:t>
      </w:r>
      <w:r w:rsidRPr="00C5244F">
        <w:rPr>
          <w:lang w:val="en-GB"/>
        </w:rPr>
        <w:t>business</w:t>
      </w:r>
      <w:r w:rsidR="00DE06DE">
        <w:rPr>
          <w:lang w:val="en-GB"/>
        </w:rPr>
        <w:t xml:space="preserve"> </w:t>
      </w:r>
      <w:r w:rsidRPr="00C5244F">
        <w:rPr>
          <w:lang w:val="en-GB"/>
        </w:rPr>
        <w:t>ethics standards</w:t>
      </w:r>
      <w:r w:rsidR="00DE06DE">
        <w:rPr>
          <w:lang w:val="en-GB"/>
        </w:rPr>
        <w:t xml:space="preserve"> </w:t>
      </w:r>
      <w:r w:rsidRPr="00C5244F">
        <w:rPr>
          <w:lang w:val="en-GB"/>
        </w:rPr>
        <w:t>and internal regulations</w:t>
      </w:r>
      <w:r w:rsidR="00DE06DE">
        <w:rPr>
          <w:lang w:val="en-GB"/>
        </w:rPr>
        <w:t xml:space="preserve"> </w:t>
      </w:r>
      <w:r w:rsidRPr="00C5244F">
        <w:rPr>
          <w:lang w:val="en-GB"/>
        </w:rPr>
        <w:t>Legal and Compliance Department reports directly</w:t>
      </w:r>
      <w:r w:rsidRPr="00C5244F">
        <w:rPr>
          <w:lang w:val="en-GB"/>
        </w:rPr>
        <w:br/>
        <w:t>the Management Board.</w:t>
      </w:r>
      <w:r w:rsidR="00DE06DE">
        <w:rPr>
          <w:lang w:val="en-GB"/>
        </w:rPr>
        <w:t xml:space="preserve"> A</w:t>
      </w:r>
      <w:r w:rsidRPr="00C5244F">
        <w:rPr>
          <w:lang w:val="en-GB"/>
        </w:rPr>
        <w:t>doption of such a solution gave the Management Board</w:t>
      </w:r>
      <w:r w:rsidR="00DE06DE">
        <w:rPr>
          <w:lang w:val="en-GB"/>
        </w:rPr>
        <w:t xml:space="preserve"> access to special knowledge in </w:t>
      </w:r>
      <w:r w:rsidRPr="00C5244F">
        <w:rPr>
          <w:lang w:val="en-GB"/>
        </w:rPr>
        <w:t>compliance of the Company's activities in all areas and aspects of these</w:t>
      </w:r>
      <w:r w:rsidR="00DE06DE">
        <w:rPr>
          <w:lang w:val="en-GB"/>
        </w:rPr>
        <w:t xml:space="preserve"> activities with the applicable </w:t>
      </w:r>
      <w:r w:rsidRPr="00C5244F">
        <w:rPr>
          <w:lang w:val="en-GB"/>
        </w:rPr>
        <w:t>law, internal regulations and the Best Practices of Companies Listed on the WSE 2021</w:t>
      </w:r>
    </w:p>
    <w:p w:rsidR="0090007A" w:rsidRPr="00C5244F" w:rsidRDefault="00C70E31" w:rsidP="00DE06DE">
      <w:pPr>
        <w:pStyle w:val="Nagwek10"/>
        <w:framePr w:w="9154" w:h="14536" w:hRule="exact" w:wrap="none" w:vAnchor="page" w:hAnchor="page" w:x="1377" w:y="1397"/>
        <w:numPr>
          <w:ilvl w:val="0"/>
          <w:numId w:val="6"/>
        </w:numPr>
        <w:shd w:val="clear" w:color="auto" w:fill="auto"/>
        <w:tabs>
          <w:tab w:val="left" w:pos="666"/>
        </w:tabs>
        <w:jc w:val="both"/>
        <w:rPr>
          <w:lang w:val="en-GB"/>
        </w:rPr>
      </w:pPr>
      <w:bookmarkStart w:id="7" w:name="bookmark6"/>
      <w:bookmarkStart w:id="8" w:name="bookmark7"/>
      <w:r w:rsidRPr="00C5244F">
        <w:rPr>
          <w:lang w:val="en-GB"/>
        </w:rPr>
        <w:t>Internal audit</w:t>
      </w:r>
      <w:bookmarkEnd w:id="7"/>
      <w:bookmarkEnd w:id="8"/>
    </w:p>
    <w:p w:rsidR="0090007A" w:rsidRPr="00C5244F" w:rsidRDefault="00C70E31" w:rsidP="00DE06DE">
      <w:pPr>
        <w:pStyle w:val="Teksttreci0"/>
        <w:framePr w:w="9154" w:h="14536" w:hRule="exact" w:wrap="none" w:vAnchor="page" w:hAnchor="page" w:x="1377" w:y="1397"/>
        <w:shd w:val="clear" w:color="auto" w:fill="auto"/>
        <w:jc w:val="both"/>
        <w:rPr>
          <w:lang w:val="en-GB"/>
        </w:rPr>
      </w:pPr>
      <w:r w:rsidRPr="00C5244F">
        <w:rPr>
          <w:lang w:val="en-GB"/>
        </w:rPr>
        <w:t>The Company does not have a separate department responsible for internal audit.</w:t>
      </w:r>
      <w:r w:rsidR="00DE06DE">
        <w:rPr>
          <w:lang w:val="en-GB"/>
        </w:rPr>
        <w:t xml:space="preserve"> </w:t>
      </w:r>
      <w:r w:rsidRPr="00C5244F">
        <w:rPr>
          <w:lang w:val="en-GB"/>
        </w:rPr>
        <w:t>As of the date</w:t>
      </w:r>
      <w:r w:rsidRPr="00C5244F">
        <w:rPr>
          <w:lang w:val="en-GB"/>
        </w:rPr>
        <w:br/>
        <w:t>of this report, the Supervisory Board does not see a need to separ</w:t>
      </w:r>
      <w:r w:rsidR="00DE06DE">
        <w:rPr>
          <w:lang w:val="en-GB"/>
        </w:rPr>
        <w:t xml:space="preserve">ate the aforementioned unit in </w:t>
      </w:r>
      <w:r w:rsidRPr="00C5244F">
        <w:rPr>
          <w:lang w:val="en-GB"/>
        </w:rPr>
        <w:t>organisational</w:t>
      </w:r>
      <w:r w:rsidR="00DE06DE">
        <w:rPr>
          <w:lang w:val="en-GB"/>
        </w:rPr>
        <w:t xml:space="preserve"> </w:t>
      </w:r>
      <w:r w:rsidRPr="00C5244F">
        <w:rPr>
          <w:lang w:val="en-GB"/>
        </w:rPr>
        <w:t>structure of</w:t>
      </w:r>
      <w:r w:rsidR="00DE06DE">
        <w:rPr>
          <w:lang w:val="en-GB"/>
        </w:rPr>
        <w:t xml:space="preserve"> the </w:t>
      </w:r>
      <w:r w:rsidRPr="00C5244F">
        <w:rPr>
          <w:lang w:val="en-GB"/>
        </w:rPr>
        <w:t>Supervisory Board and in particular the Audit</w:t>
      </w:r>
      <w:r w:rsidR="00DE06DE">
        <w:rPr>
          <w:lang w:val="en-GB"/>
        </w:rPr>
        <w:t xml:space="preserve"> Committee constantly monitor </w:t>
      </w:r>
      <w:r w:rsidRPr="00C5244F">
        <w:rPr>
          <w:lang w:val="en-GB"/>
        </w:rPr>
        <w:t>the necessity of establishing appropriate internal audit structures</w:t>
      </w:r>
    </w:p>
    <w:p w:rsidR="0090007A" w:rsidRPr="00C5244F" w:rsidRDefault="00C70E31" w:rsidP="00DE06DE">
      <w:pPr>
        <w:pStyle w:val="Nagwek10"/>
        <w:framePr w:w="9154" w:h="14536" w:hRule="exact" w:wrap="none" w:vAnchor="page" w:hAnchor="page" w:x="1377" w:y="1397"/>
        <w:numPr>
          <w:ilvl w:val="0"/>
          <w:numId w:val="6"/>
        </w:numPr>
        <w:shd w:val="clear" w:color="auto" w:fill="auto"/>
        <w:tabs>
          <w:tab w:val="left" w:pos="666"/>
        </w:tabs>
        <w:jc w:val="both"/>
        <w:rPr>
          <w:lang w:val="en-GB"/>
        </w:rPr>
      </w:pPr>
      <w:bookmarkStart w:id="9" w:name="bookmark8"/>
      <w:bookmarkStart w:id="10" w:name="bookmark9"/>
      <w:r w:rsidRPr="00C5244F">
        <w:rPr>
          <w:lang w:val="en-GB"/>
        </w:rPr>
        <w:t>Assessment of financial reporting and operations</w:t>
      </w:r>
      <w:bookmarkEnd w:id="9"/>
      <w:bookmarkEnd w:id="10"/>
    </w:p>
    <w:p w:rsidR="0090007A" w:rsidRPr="00C5244F" w:rsidRDefault="00C70E31" w:rsidP="00DE06DE">
      <w:pPr>
        <w:pStyle w:val="Teksttreci0"/>
        <w:framePr w:w="9154" w:h="14536" w:hRule="exact" w:wrap="none" w:vAnchor="page" w:hAnchor="page" w:x="1377" w:y="1397"/>
        <w:shd w:val="clear" w:color="auto" w:fill="auto"/>
        <w:spacing w:after="300"/>
        <w:jc w:val="both"/>
        <w:rPr>
          <w:lang w:val="en-GB"/>
        </w:rPr>
      </w:pPr>
      <w:r w:rsidRPr="00C5244F">
        <w:rPr>
          <w:lang w:val="en-GB"/>
        </w:rPr>
        <w:t>In the opinion of the Supervisory Board, through the application and monitoring</w:t>
      </w:r>
      <w:r w:rsidRPr="00C5244F">
        <w:rPr>
          <w:lang w:val="en-GB"/>
        </w:rPr>
        <w:br/>
        <w:t>internal control, risk management and compliance</w:t>
      </w:r>
      <w:r w:rsidR="00DE06DE">
        <w:rPr>
          <w:lang w:val="en-GB"/>
        </w:rPr>
        <w:t xml:space="preserve"> </w:t>
      </w:r>
      <w:r w:rsidRPr="00C5244F">
        <w:rPr>
          <w:lang w:val="en-GB"/>
        </w:rPr>
        <w:t>systems described above</w:t>
      </w:r>
      <w:r w:rsidR="00DE06DE">
        <w:rPr>
          <w:lang w:val="en-GB"/>
        </w:rPr>
        <w:t xml:space="preserve"> </w:t>
      </w:r>
      <w:r w:rsidRPr="00C5244F">
        <w:rPr>
          <w:lang w:val="en-GB"/>
        </w:rPr>
        <w:t>which in the opini</w:t>
      </w:r>
      <w:r w:rsidR="00DE06DE">
        <w:rPr>
          <w:lang w:val="en-GB"/>
        </w:rPr>
        <w:t xml:space="preserve">on of the Supervisory Board are </w:t>
      </w:r>
      <w:r w:rsidRPr="00C5244F">
        <w:rPr>
          <w:lang w:val="en-GB"/>
        </w:rPr>
        <w:t xml:space="preserve">adequate to the nature and scale of the Company's activities, the Company effectively </w:t>
      </w:r>
      <w:r w:rsidR="00DE06DE">
        <w:rPr>
          <w:lang w:val="en-GB"/>
        </w:rPr>
        <w:t xml:space="preserve">achieves the objectives such as </w:t>
      </w:r>
      <w:r w:rsidRPr="00C5244F">
        <w:rPr>
          <w:lang w:val="en-GB"/>
        </w:rPr>
        <w:t>effectiveness, operational efficiency, reliability of financial</w:t>
      </w:r>
      <w:r w:rsidR="00DE06DE">
        <w:rPr>
          <w:lang w:val="en-GB"/>
        </w:rPr>
        <w:t xml:space="preserve"> statements and compliance with </w:t>
      </w:r>
      <w:r w:rsidRPr="00C5244F">
        <w:rPr>
          <w:lang w:val="en-GB"/>
        </w:rPr>
        <w:t>laws and other regulations</w:t>
      </w:r>
    </w:p>
    <w:p w:rsidR="0090007A" w:rsidRPr="00C5244F" w:rsidRDefault="00C70E31" w:rsidP="00DE06DE">
      <w:pPr>
        <w:pStyle w:val="Teksttreci0"/>
        <w:framePr w:w="9154" w:h="14536" w:hRule="exact" w:wrap="none" w:vAnchor="page" w:hAnchor="page" w:x="1377" w:y="1397"/>
        <w:shd w:val="clear" w:color="auto" w:fill="auto"/>
        <w:jc w:val="both"/>
        <w:rPr>
          <w:lang w:val="en-GB"/>
        </w:rPr>
      </w:pPr>
      <w:r w:rsidRPr="00C5244F">
        <w:rPr>
          <w:lang w:val="en-GB"/>
        </w:rPr>
        <w:t>The Company applies internal con</w:t>
      </w:r>
      <w:r w:rsidR="00DE06DE">
        <w:rPr>
          <w:lang w:val="en-GB"/>
        </w:rPr>
        <w:t xml:space="preserve">trol systems for accounting and </w:t>
      </w:r>
      <w:r w:rsidRPr="00C5244F">
        <w:rPr>
          <w:lang w:val="en-GB"/>
        </w:rPr>
        <w:t>financial reporting that ensure reliable and clear presentatio</w:t>
      </w:r>
      <w:r w:rsidR="00DE06DE">
        <w:rPr>
          <w:lang w:val="en-GB"/>
        </w:rPr>
        <w:t xml:space="preserve">n of its financial position and </w:t>
      </w:r>
      <w:r w:rsidRPr="00C5244F">
        <w:rPr>
          <w:lang w:val="en-GB"/>
        </w:rPr>
        <w:t>assets.</w:t>
      </w:r>
      <w:r w:rsidR="00DE06DE">
        <w:rPr>
          <w:lang w:val="en-GB"/>
        </w:rPr>
        <w:t xml:space="preserve"> </w:t>
      </w:r>
      <w:r w:rsidRPr="00C5244F">
        <w:rPr>
          <w:lang w:val="en-GB"/>
        </w:rPr>
        <w:t>The Company has documentation describing the adopted ac</w:t>
      </w:r>
      <w:r w:rsidR="00DE06DE">
        <w:rPr>
          <w:lang w:val="en-GB"/>
        </w:rPr>
        <w:t xml:space="preserve">counting principles, specifying </w:t>
      </w:r>
      <w:r w:rsidRPr="00C5244F">
        <w:rPr>
          <w:lang w:val="en-GB"/>
        </w:rPr>
        <w:t>methods of valuing assets and liabilities and d</w:t>
      </w:r>
      <w:r w:rsidR="00DE06DE">
        <w:rPr>
          <w:lang w:val="en-GB"/>
        </w:rPr>
        <w:t>etermining the financial result</w:t>
      </w:r>
      <w:r w:rsidRPr="00C5244F">
        <w:rPr>
          <w:lang w:val="en-GB"/>
        </w:rPr>
        <w:t xml:space="preserve"> a</w:t>
      </w:r>
      <w:r w:rsidR="00DE06DE">
        <w:rPr>
          <w:lang w:val="en-GB"/>
        </w:rPr>
        <w:t xml:space="preserve">s well as the manner of keeping </w:t>
      </w:r>
      <w:r w:rsidRPr="00C5244F">
        <w:rPr>
          <w:lang w:val="en-GB"/>
        </w:rPr>
        <w:t>accounting books and the system of protecting data and their collections.</w:t>
      </w:r>
      <w:r w:rsidR="00DE06DE">
        <w:rPr>
          <w:lang w:val="en-GB"/>
        </w:rPr>
        <w:t xml:space="preserve"> </w:t>
      </w:r>
      <w:r w:rsidRPr="00C5244F">
        <w:rPr>
          <w:lang w:val="en-GB"/>
        </w:rPr>
        <w:t>The adopted ac</w:t>
      </w:r>
      <w:r w:rsidR="00DE06DE">
        <w:rPr>
          <w:lang w:val="en-GB"/>
        </w:rPr>
        <w:t xml:space="preserve">counting principles are applied </w:t>
      </w:r>
      <w:r w:rsidRPr="00C5244F">
        <w:rPr>
          <w:lang w:val="en-GB"/>
        </w:rPr>
        <w:t>continuously ensuring comparability of financial sta</w:t>
      </w:r>
      <w:r w:rsidR="00DE06DE">
        <w:rPr>
          <w:lang w:val="en-GB"/>
        </w:rPr>
        <w:t xml:space="preserve">tements with the application of going concern and prudent </w:t>
      </w:r>
      <w:r w:rsidRPr="00C5244F">
        <w:rPr>
          <w:lang w:val="en-GB"/>
        </w:rPr>
        <w:t>valuation rules.</w:t>
      </w:r>
      <w:r w:rsidR="00DE06DE">
        <w:rPr>
          <w:lang w:val="en-GB"/>
        </w:rPr>
        <w:t xml:space="preserve"> </w:t>
      </w:r>
      <w:r w:rsidRPr="00C5244F">
        <w:rPr>
          <w:lang w:val="en-GB"/>
        </w:rPr>
        <w:t>The Com</w:t>
      </w:r>
      <w:r w:rsidR="00DE06DE">
        <w:rPr>
          <w:lang w:val="en-GB"/>
        </w:rPr>
        <w:t xml:space="preserve">pany's financial statements are </w:t>
      </w:r>
      <w:r w:rsidRPr="00C5244F">
        <w:rPr>
          <w:lang w:val="en-GB"/>
        </w:rPr>
        <w:t>audited by authorised entities selected by resolution of the Supervisory Board.</w:t>
      </w:r>
      <w:r w:rsidR="00DE06DE">
        <w:rPr>
          <w:lang w:val="en-GB"/>
        </w:rPr>
        <w:t xml:space="preserve"> The statements are </w:t>
      </w:r>
      <w:r w:rsidRPr="00C5244F">
        <w:rPr>
          <w:lang w:val="en-GB"/>
        </w:rPr>
        <w:t>published in accordance with applicable legal regulations.</w:t>
      </w:r>
    </w:p>
    <w:p w:rsidR="0090007A" w:rsidRPr="00C5244F" w:rsidRDefault="00DE06DE" w:rsidP="00DE06DE">
      <w:pPr>
        <w:pStyle w:val="Teksttreci0"/>
        <w:framePr w:w="9154" w:h="14536" w:hRule="exact" w:wrap="none" w:vAnchor="page" w:hAnchor="page" w:x="1377" w:y="1397"/>
        <w:numPr>
          <w:ilvl w:val="0"/>
          <w:numId w:val="6"/>
        </w:numPr>
        <w:shd w:val="clear" w:color="auto" w:fill="auto"/>
        <w:tabs>
          <w:tab w:val="left" w:pos="666"/>
        </w:tabs>
        <w:spacing w:after="0"/>
        <w:ind w:left="740" w:hanging="740"/>
        <w:jc w:val="both"/>
        <w:rPr>
          <w:lang w:val="en-GB"/>
        </w:rPr>
      </w:pPr>
      <w:r>
        <w:rPr>
          <w:b/>
          <w:bCs/>
          <w:lang w:val="en-GB"/>
        </w:rPr>
        <w:t xml:space="preserve"> </w:t>
      </w:r>
      <w:r w:rsidR="005843B7">
        <w:rPr>
          <w:b/>
          <w:bCs/>
          <w:lang w:val="en-GB"/>
        </w:rPr>
        <w:t xml:space="preserve">Assessment </w:t>
      </w:r>
      <w:r w:rsidR="00C70E31" w:rsidRPr="00C5244F">
        <w:rPr>
          <w:b/>
          <w:bCs/>
          <w:lang w:val="en-GB"/>
        </w:rPr>
        <w:t>of the company's application of the principles of corporate governan</w:t>
      </w:r>
      <w:r>
        <w:rPr>
          <w:b/>
          <w:bCs/>
          <w:lang w:val="en-GB"/>
        </w:rPr>
        <w:t xml:space="preserve">ce and the manner of fulfilling </w:t>
      </w:r>
      <w:r w:rsidR="00C70E31" w:rsidRPr="00C5244F">
        <w:rPr>
          <w:b/>
          <w:bCs/>
          <w:lang w:val="en-GB"/>
        </w:rPr>
        <w:t xml:space="preserve">the information obligations concerning their application </w:t>
      </w:r>
      <w:r>
        <w:rPr>
          <w:b/>
          <w:bCs/>
          <w:lang w:val="en-GB"/>
        </w:rPr>
        <w:t>specified</w:t>
      </w:r>
      <w:r w:rsidR="00C70E31" w:rsidRPr="00C5244F">
        <w:rPr>
          <w:b/>
          <w:bCs/>
          <w:lang w:val="en-GB"/>
        </w:rPr>
        <w:t xml:space="preserve"> in</w:t>
      </w:r>
      <w:r>
        <w:rPr>
          <w:b/>
          <w:bCs/>
          <w:lang w:val="en-GB"/>
        </w:rPr>
        <w:t xml:space="preserve"> the </w:t>
      </w:r>
      <w:r w:rsidR="005843B7">
        <w:rPr>
          <w:b/>
          <w:bCs/>
          <w:lang w:val="en-GB"/>
        </w:rPr>
        <w:t>Stock Exchange Regulations</w:t>
      </w:r>
      <w:r>
        <w:rPr>
          <w:b/>
          <w:bCs/>
          <w:lang w:val="en-GB"/>
        </w:rPr>
        <w:t xml:space="preserve"> </w:t>
      </w:r>
      <w:r w:rsidR="00C70E31" w:rsidRPr="00C5244F">
        <w:rPr>
          <w:b/>
          <w:bCs/>
          <w:lang w:val="en-GB"/>
        </w:rPr>
        <w:t>and regulations concerning current and p</w:t>
      </w:r>
      <w:r>
        <w:rPr>
          <w:b/>
          <w:bCs/>
          <w:lang w:val="en-GB"/>
        </w:rPr>
        <w:t xml:space="preserve">eriodic information provided by </w:t>
      </w:r>
      <w:r w:rsidR="00C70E31" w:rsidRPr="00C5244F">
        <w:rPr>
          <w:b/>
          <w:bCs/>
          <w:lang w:val="en-GB"/>
        </w:rPr>
        <w:t>issuers of securities.</w:t>
      </w:r>
    </w:p>
    <w:p w:rsidR="0090007A" w:rsidRPr="00C5244F" w:rsidRDefault="0090007A">
      <w:pPr>
        <w:spacing w:line="1" w:lineRule="exact"/>
        <w:rPr>
          <w:lang w:val="en-GB"/>
        </w:rPr>
        <w:sectPr w:rsidR="0090007A" w:rsidRPr="00C5244F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007A" w:rsidRPr="00C5244F" w:rsidRDefault="0090007A">
      <w:pPr>
        <w:spacing w:line="1" w:lineRule="exact"/>
        <w:rPr>
          <w:lang w:val="en-GB"/>
        </w:rPr>
      </w:pPr>
    </w:p>
    <w:p w:rsidR="0090007A" w:rsidRPr="00C5244F" w:rsidRDefault="00C70E31" w:rsidP="005843B7">
      <w:pPr>
        <w:pStyle w:val="Teksttreci0"/>
        <w:framePr w:w="9149" w:h="2521" w:hRule="exact" w:wrap="none" w:vAnchor="page" w:hAnchor="page" w:x="1380" w:y="1066"/>
        <w:shd w:val="clear" w:color="auto" w:fill="auto"/>
        <w:spacing w:after="0"/>
        <w:jc w:val="both"/>
        <w:rPr>
          <w:lang w:val="en-GB"/>
        </w:rPr>
      </w:pPr>
      <w:r w:rsidRPr="00C5244F">
        <w:rPr>
          <w:lang w:val="en-GB"/>
        </w:rPr>
        <w:t>In the opinion of the Supervisory Board, the Company applies the principles of corporate governance</w:t>
      </w:r>
      <w:r w:rsidR="00516998">
        <w:rPr>
          <w:lang w:val="en-GB"/>
        </w:rPr>
        <w:t>,</w:t>
      </w:r>
      <w:r w:rsidRPr="00C5244F">
        <w:rPr>
          <w:lang w:val="en-GB"/>
        </w:rPr>
        <w:t xml:space="preserve"> tak</w:t>
      </w:r>
      <w:r w:rsidR="005843B7">
        <w:rPr>
          <w:lang w:val="en-GB"/>
        </w:rPr>
        <w:t>ing into account the nature and specificity of its operations</w:t>
      </w:r>
      <w:r w:rsidRPr="00C5244F">
        <w:rPr>
          <w:lang w:val="en-GB"/>
        </w:rPr>
        <w:t xml:space="preserve"> as well as fulfils the information obligatio</w:t>
      </w:r>
      <w:r w:rsidR="005843B7">
        <w:rPr>
          <w:lang w:val="en-GB"/>
        </w:rPr>
        <w:t xml:space="preserve">ns concerning their application </w:t>
      </w:r>
      <w:r w:rsidRPr="00C5244F">
        <w:rPr>
          <w:lang w:val="en-GB"/>
        </w:rPr>
        <w:t xml:space="preserve">specified in the Stock Exchange </w:t>
      </w:r>
      <w:r w:rsidR="005843B7">
        <w:rPr>
          <w:lang w:val="en-GB"/>
        </w:rPr>
        <w:t xml:space="preserve">Regulations </w:t>
      </w:r>
      <w:r w:rsidRPr="00C5244F">
        <w:rPr>
          <w:lang w:val="en-GB"/>
        </w:rPr>
        <w:t>and regulations concerning cur</w:t>
      </w:r>
      <w:r w:rsidR="005843B7">
        <w:rPr>
          <w:lang w:val="en-GB"/>
        </w:rPr>
        <w:t xml:space="preserve">rent and periodical information </w:t>
      </w:r>
      <w:r w:rsidRPr="00C5244F">
        <w:rPr>
          <w:lang w:val="en-GB"/>
        </w:rPr>
        <w:t>submitted by issuers of securities.</w:t>
      </w:r>
      <w:r w:rsidR="005843B7">
        <w:rPr>
          <w:lang w:val="en-GB"/>
        </w:rPr>
        <w:t xml:space="preserve"> </w:t>
      </w:r>
      <w:r w:rsidRPr="00C5244F">
        <w:rPr>
          <w:lang w:val="en-GB"/>
        </w:rPr>
        <w:t xml:space="preserve">The </w:t>
      </w:r>
      <w:r w:rsidR="00516998">
        <w:rPr>
          <w:lang w:val="en-GB"/>
        </w:rPr>
        <w:t>aforementioned issues</w:t>
      </w:r>
      <w:r w:rsidR="005843B7">
        <w:rPr>
          <w:lang w:val="en-GB"/>
        </w:rPr>
        <w:t xml:space="preserve"> were the subject of </w:t>
      </w:r>
      <w:r w:rsidRPr="00C5244F">
        <w:rPr>
          <w:lang w:val="en-GB"/>
        </w:rPr>
        <w:t>deliberations of the Supervisory Board, where the Company informed in det</w:t>
      </w:r>
      <w:r w:rsidR="005843B7">
        <w:rPr>
          <w:lang w:val="en-GB"/>
        </w:rPr>
        <w:t xml:space="preserve">ail which rules are applied and </w:t>
      </w:r>
      <w:r w:rsidRPr="00C5244F">
        <w:rPr>
          <w:lang w:val="en-GB"/>
        </w:rPr>
        <w:t>justified which corporate governance rules the Company currently does not apply</w:t>
      </w:r>
      <w:r w:rsidR="005843B7">
        <w:rPr>
          <w:lang w:val="en-GB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9"/>
        <w:gridCol w:w="3187"/>
        <w:gridCol w:w="2357"/>
      </w:tblGrid>
      <w:tr w:rsidR="0090007A" w:rsidRPr="00C5244F">
        <w:trPr>
          <w:trHeight w:hRule="exact" w:val="1003"/>
        </w:trPr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</w:tcPr>
          <w:p w:rsidR="0090007A" w:rsidRPr="00C5244F" w:rsidRDefault="00C70E31">
            <w:pPr>
              <w:pStyle w:val="Inne0"/>
              <w:framePr w:w="7973" w:h="2237" w:wrap="none" w:vAnchor="page" w:hAnchor="page" w:x="1971" w:y="3942"/>
              <w:shd w:val="clear" w:color="auto" w:fill="auto"/>
              <w:spacing w:before="140" w:after="0" w:line="240" w:lineRule="auto"/>
              <w:ind w:firstLine="180"/>
              <w:rPr>
                <w:lang w:val="en-GB"/>
              </w:rPr>
            </w:pPr>
            <w:r w:rsidRPr="00C5244F">
              <w:rPr>
                <w:lang w:val="en-GB"/>
              </w:rPr>
              <w:t>Piotr Mondalski</w:t>
            </w:r>
          </w:p>
        </w:tc>
        <w:tc>
          <w:tcPr>
            <w:tcW w:w="3187" w:type="dxa"/>
            <w:tcBorders>
              <w:top w:val="single" w:sz="4" w:space="0" w:color="auto"/>
            </w:tcBorders>
            <w:shd w:val="clear" w:color="auto" w:fill="FFFFFF"/>
          </w:tcPr>
          <w:p w:rsidR="0090007A" w:rsidRPr="00C5244F" w:rsidRDefault="00C70E31">
            <w:pPr>
              <w:pStyle w:val="Inne0"/>
              <w:framePr w:w="7973" w:h="2237" w:wrap="none" w:vAnchor="page" w:hAnchor="page" w:x="1971" w:y="3942"/>
              <w:shd w:val="clear" w:color="auto" w:fill="auto"/>
              <w:spacing w:before="140" w:after="0" w:line="240" w:lineRule="auto"/>
              <w:jc w:val="center"/>
              <w:rPr>
                <w:lang w:val="en-GB"/>
              </w:rPr>
            </w:pPr>
            <w:r w:rsidRPr="00C5244F">
              <w:rPr>
                <w:lang w:val="en-GB"/>
              </w:rPr>
              <w:t>Jan Szmidt</w:t>
            </w:r>
          </w:p>
        </w:tc>
        <w:tc>
          <w:tcPr>
            <w:tcW w:w="2357" w:type="dxa"/>
            <w:tcBorders>
              <w:top w:val="single" w:sz="4" w:space="0" w:color="auto"/>
            </w:tcBorders>
            <w:shd w:val="clear" w:color="auto" w:fill="FFFFFF"/>
          </w:tcPr>
          <w:p w:rsidR="0090007A" w:rsidRPr="00C5244F" w:rsidRDefault="00C70E31">
            <w:pPr>
              <w:pStyle w:val="Inne0"/>
              <w:framePr w:w="7973" w:h="2237" w:wrap="none" w:vAnchor="page" w:hAnchor="page" w:x="1971" w:y="3942"/>
              <w:shd w:val="clear" w:color="auto" w:fill="auto"/>
              <w:spacing w:before="140" w:after="0" w:line="240" w:lineRule="auto"/>
              <w:ind w:firstLine="760"/>
              <w:rPr>
                <w:lang w:val="en-GB"/>
              </w:rPr>
            </w:pPr>
            <w:r w:rsidRPr="00C5244F">
              <w:rPr>
                <w:lang w:val="en-GB"/>
              </w:rPr>
              <w:t>Beata Szmidt</w:t>
            </w:r>
          </w:p>
        </w:tc>
      </w:tr>
      <w:tr w:rsidR="0090007A" w:rsidRPr="00C5244F">
        <w:trPr>
          <w:trHeight w:hRule="exact" w:val="926"/>
        </w:trPr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</w:tcPr>
          <w:p w:rsidR="0090007A" w:rsidRPr="00C5244F" w:rsidRDefault="00C70E31">
            <w:pPr>
              <w:pStyle w:val="Inne0"/>
              <w:framePr w:w="7973" w:h="2237" w:wrap="none" w:vAnchor="page" w:hAnchor="page" w:x="1971" w:y="3942"/>
              <w:shd w:val="clear" w:color="auto" w:fill="auto"/>
              <w:spacing w:after="0" w:line="240" w:lineRule="auto"/>
              <w:ind w:firstLine="180"/>
              <w:rPr>
                <w:lang w:val="en-GB"/>
              </w:rPr>
            </w:pPr>
            <w:r w:rsidRPr="00C5244F">
              <w:rPr>
                <w:lang w:val="en-GB"/>
              </w:rPr>
              <w:t>Grzegorz Maciąg</w:t>
            </w:r>
          </w:p>
        </w:tc>
        <w:tc>
          <w:tcPr>
            <w:tcW w:w="3187" w:type="dxa"/>
            <w:tcBorders>
              <w:top w:val="single" w:sz="4" w:space="0" w:color="auto"/>
            </w:tcBorders>
            <w:shd w:val="clear" w:color="auto" w:fill="FFFFFF"/>
          </w:tcPr>
          <w:p w:rsidR="0090007A" w:rsidRPr="00C5244F" w:rsidRDefault="00C70E31">
            <w:pPr>
              <w:pStyle w:val="Inne0"/>
              <w:framePr w:w="7973" w:h="2237" w:wrap="none" w:vAnchor="page" w:hAnchor="page" w:x="1971" w:y="3942"/>
              <w:shd w:val="clear" w:color="auto" w:fill="auto"/>
              <w:spacing w:after="0" w:line="240" w:lineRule="auto"/>
              <w:jc w:val="center"/>
              <w:rPr>
                <w:lang w:val="en-GB"/>
              </w:rPr>
            </w:pPr>
            <w:r w:rsidRPr="00C5244F">
              <w:rPr>
                <w:lang w:val="en-GB"/>
              </w:rPr>
              <w:t>Wojciech Papierak</w:t>
            </w:r>
          </w:p>
        </w:tc>
        <w:tc>
          <w:tcPr>
            <w:tcW w:w="2357" w:type="dxa"/>
            <w:tcBorders>
              <w:top w:val="single" w:sz="4" w:space="0" w:color="auto"/>
            </w:tcBorders>
            <w:shd w:val="clear" w:color="auto" w:fill="FFFFFF"/>
          </w:tcPr>
          <w:p w:rsidR="0090007A" w:rsidRPr="00C5244F" w:rsidRDefault="00C70E31">
            <w:pPr>
              <w:pStyle w:val="Inne0"/>
              <w:framePr w:w="7973" w:h="2237" w:wrap="none" w:vAnchor="page" w:hAnchor="page" w:x="1971" w:y="3942"/>
              <w:shd w:val="clear" w:color="auto" w:fill="auto"/>
              <w:spacing w:after="0" w:line="240" w:lineRule="auto"/>
              <w:ind w:firstLine="760"/>
              <w:rPr>
                <w:lang w:val="en-GB"/>
              </w:rPr>
            </w:pPr>
            <w:r w:rsidRPr="00C5244F">
              <w:rPr>
                <w:lang w:val="en-GB"/>
              </w:rPr>
              <w:t>Michał Kobus</w:t>
            </w:r>
          </w:p>
        </w:tc>
      </w:tr>
      <w:tr w:rsidR="0090007A" w:rsidRPr="00C5244F">
        <w:trPr>
          <w:trHeight w:hRule="exact" w:val="307"/>
        </w:trPr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0007A" w:rsidRPr="00C5244F" w:rsidRDefault="00C70E31">
            <w:pPr>
              <w:pStyle w:val="Inne0"/>
              <w:framePr w:w="7973" w:h="2237" w:wrap="none" w:vAnchor="page" w:hAnchor="page" w:x="1971" w:y="3942"/>
              <w:shd w:val="clear" w:color="auto" w:fill="auto"/>
              <w:spacing w:after="0" w:line="240" w:lineRule="auto"/>
              <w:ind w:firstLine="320"/>
              <w:rPr>
                <w:lang w:val="en-GB"/>
              </w:rPr>
            </w:pPr>
            <w:r w:rsidRPr="00C5244F">
              <w:rPr>
                <w:lang w:val="en-GB"/>
              </w:rPr>
              <w:t>Dariusz Górka</w:t>
            </w:r>
          </w:p>
        </w:tc>
        <w:tc>
          <w:tcPr>
            <w:tcW w:w="3187" w:type="dxa"/>
            <w:shd w:val="clear" w:color="auto" w:fill="FFFFFF"/>
          </w:tcPr>
          <w:p w:rsidR="0090007A" w:rsidRPr="00C5244F" w:rsidRDefault="0090007A">
            <w:pPr>
              <w:framePr w:w="7973" w:h="2237" w:wrap="none" w:vAnchor="page" w:hAnchor="page" w:x="1971" w:y="3942"/>
              <w:rPr>
                <w:sz w:val="10"/>
                <w:szCs w:val="10"/>
                <w:lang w:val="en-GB"/>
              </w:rPr>
            </w:pPr>
          </w:p>
        </w:tc>
        <w:tc>
          <w:tcPr>
            <w:tcW w:w="2357" w:type="dxa"/>
            <w:shd w:val="clear" w:color="auto" w:fill="FFFFFF"/>
          </w:tcPr>
          <w:p w:rsidR="0090007A" w:rsidRPr="00C5244F" w:rsidRDefault="0090007A">
            <w:pPr>
              <w:framePr w:w="7973" w:h="2237" w:wrap="none" w:vAnchor="page" w:hAnchor="page" w:x="1971" w:y="3942"/>
              <w:rPr>
                <w:sz w:val="10"/>
                <w:szCs w:val="10"/>
                <w:lang w:val="en-GB"/>
              </w:rPr>
            </w:pPr>
          </w:p>
        </w:tc>
      </w:tr>
    </w:tbl>
    <w:p w:rsidR="0090007A" w:rsidRPr="00C5244F" w:rsidRDefault="0090007A">
      <w:pPr>
        <w:spacing w:line="1" w:lineRule="exact"/>
        <w:rPr>
          <w:lang w:val="en-GB"/>
        </w:rPr>
      </w:pPr>
    </w:p>
    <w:sectPr w:rsidR="0090007A" w:rsidRPr="00C5244F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ACE" w:rsidRDefault="00794ACE">
      <w:r>
        <w:separator/>
      </w:r>
    </w:p>
  </w:endnote>
  <w:endnote w:type="continuationSeparator" w:id="0">
    <w:p w:rsidR="00794ACE" w:rsidRDefault="0079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ACE" w:rsidRDefault="00794ACE"/>
  </w:footnote>
  <w:footnote w:type="continuationSeparator" w:id="0">
    <w:p w:rsidR="00794ACE" w:rsidRDefault="00794A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65CD1"/>
    <w:multiLevelType w:val="multilevel"/>
    <w:tmpl w:val="228CAF8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E1D1D"/>
    <w:multiLevelType w:val="multilevel"/>
    <w:tmpl w:val="260E62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D02F5F"/>
    <w:multiLevelType w:val="multilevel"/>
    <w:tmpl w:val="CB9A7EE6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GB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9F1E95"/>
    <w:multiLevelType w:val="multilevel"/>
    <w:tmpl w:val="D3EC856C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A730F1"/>
    <w:multiLevelType w:val="multilevel"/>
    <w:tmpl w:val="B648A0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4F7E3D"/>
    <w:multiLevelType w:val="multilevel"/>
    <w:tmpl w:val="9204131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7A"/>
    <w:rsid w:val="00050388"/>
    <w:rsid w:val="003349A2"/>
    <w:rsid w:val="00505DD3"/>
    <w:rsid w:val="00516998"/>
    <w:rsid w:val="005843B7"/>
    <w:rsid w:val="00642595"/>
    <w:rsid w:val="00794ACE"/>
    <w:rsid w:val="008246A5"/>
    <w:rsid w:val="0090007A"/>
    <w:rsid w:val="00926C64"/>
    <w:rsid w:val="009862E5"/>
    <w:rsid w:val="00AA51FC"/>
    <w:rsid w:val="00BB3E0E"/>
    <w:rsid w:val="00C5244F"/>
    <w:rsid w:val="00C70E31"/>
    <w:rsid w:val="00D42A96"/>
    <w:rsid w:val="00DE06DE"/>
    <w:rsid w:val="00E6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0D899-6283-40F0-9534-05A02AD1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00" w:line="271" w:lineRule="auto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200" w:line="271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1920</Words>
  <Characters>11524</Characters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terms:created xsi:type="dcterms:W3CDTF">2022-06-20T09:58:00Z</dcterms:created>
  <dcterms:modified xsi:type="dcterms:W3CDTF">2022-06-20T13:41:00Z</dcterms:modified>
</cp:coreProperties>
</file>