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AB9" w:rsidRDefault="00E66AB9" w:rsidP="00E66AB9">
      <w:pPr>
        <w:jc w:val="both"/>
        <w:rPr>
          <w:rFonts w:asciiTheme="minorHAnsi" w:hAnsiTheme="minorHAnsi" w:cs="Arial"/>
          <w:sz w:val="24"/>
          <w:szCs w:val="24"/>
          <w:lang w:val="en-US"/>
        </w:rPr>
      </w:pPr>
      <w:r w:rsidRPr="00415447">
        <w:rPr>
          <w:rFonts w:asciiTheme="minorHAnsi" w:hAnsiTheme="minorHAnsi" w:cs="Arial"/>
          <w:sz w:val="24"/>
          <w:szCs w:val="24"/>
          <w:lang w:val="en-US"/>
        </w:rPr>
        <w:t>Proposed meeting agenda</w:t>
      </w:r>
      <w:r w:rsidR="008C549E" w:rsidRPr="00415447">
        <w:rPr>
          <w:rFonts w:asciiTheme="minorHAnsi" w:hAnsiTheme="minorHAnsi" w:cs="Arial"/>
          <w:sz w:val="24"/>
          <w:szCs w:val="24"/>
          <w:lang w:val="en-US"/>
        </w:rPr>
        <w:t xml:space="preserve"> </w:t>
      </w:r>
      <w:r w:rsidRPr="00415447">
        <w:rPr>
          <w:rFonts w:asciiTheme="minorHAnsi" w:hAnsiTheme="minorHAnsi" w:cs="Arial"/>
          <w:sz w:val="24"/>
          <w:szCs w:val="24"/>
          <w:lang w:val="en-US"/>
        </w:rPr>
        <w:t>- extract from the announcement concerning convening of the Ordinary General Meeting</w:t>
      </w:r>
      <w:r w:rsidR="002F1569">
        <w:rPr>
          <w:rFonts w:asciiTheme="minorHAnsi" w:hAnsiTheme="minorHAnsi" w:cs="Arial"/>
          <w:sz w:val="24"/>
          <w:szCs w:val="24"/>
          <w:lang w:val="en-US"/>
        </w:rPr>
        <w:t>:</w:t>
      </w:r>
    </w:p>
    <w:p w:rsidR="002F1569" w:rsidRPr="00415447" w:rsidRDefault="002F1569" w:rsidP="00E66AB9">
      <w:pPr>
        <w:jc w:val="both"/>
        <w:rPr>
          <w:rFonts w:asciiTheme="minorHAnsi" w:hAnsiTheme="minorHAnsi" w:cs="Arial"/>
          <w:sz w:val="24"/>
          <w:szCs w:val="24"/>
          <w:lang w:val="en-US"/>
        </w:rPr>
      </w:pP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Opening of the Ordinary General Meeting.</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Election of the Chairman of the Ordinary General Meeting.</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Confirmation of the legality of the convening the Ordinary general Meeting and its capacity to adopt resolutions.</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Acceptance of the agenda.</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Appointment of Scrutiny Commission.</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Review of the Supervisory Board reports  on:</w:t>
      </w:r>
    </w:p>
    <w:p w:rsidR="005F5E53" w:rsidRPr="004209E4" w:rsidRDefault="005F5E53" w:rsidP="004209E4">
      <w:pPr>
        <w:ind w:left="708"/>
        <w:jc w:val="both"/>
        <w:rPr>
          <w:sz w:val="24"/>
          <w:szCs w:val="24"/>
          <w:lang w:val="en-GB"/>
        </w:rPr>
      </w:pPr>
      <w:bookmarkStart w:id="0" w:name="_GoBack"/>
      <w:r w:rsidRPr="004209E4">
        <w:rPr>
          <w:sz w:val="24"/>
          <w:szCs w:val="24"/>
          <w:lang w:val="en-GB"/>
        </w:rPr>
        <w:t xml:space="preserve">a) the assessment of the Company’s standing, including the evaluation on the internal control system and the Company’s significant risk management system. </w:t>
      </w:r>
    </w:p>
    <w:p w:rsidR="005F5E53" w:rsidRPr="004209E4" w:rsidRDefault="005F5E53" w:rsidP="004209E4">
      <w:pPr>
        <w:ind w:left="708"/>
        <w:jc w:val="both"/>
        <w:rPr>
          <w:sz w:val="24"/>
          <w:szCs w:val="24"/>
          <w:lang w:val="en-GB"/>
        </w:rPr>
      </w:pPr>
      <w:r w:rsidRPr="004209E4">
        <w:rPr>
          <w:sz w:val="24"/>
          <w:szCs w:val="24"/>
          <w:lang w:val="en-GB"/>
        </w:rPr>
        <w:t xml:space="preserve">b) the assessment of the Directors’ report on operations of the Company and the Group in the financial year 2013, Financial Statements of the Company and the Group for the financial year 2013 and the Management Board recommendation concerning the appropriation of profit  for financial year 2013. </w:t>
      </w:r>
      <w:bookmarkEnd w:id="0"/>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 xml:space="preserve">Adoption of resolution on approval of the Supervisory Board report for year 2013. </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 xml:space="preserve">Adoption of resolution on approval of the </w:t>
      </w:r>
      <w:hyperlink r:id="rId6" w:tgtFrame="_blank" w:history="1">
        <w:r w:rsidRPr="00732C03">
          <w:rPr>
            <w:sz w:val="24"/>
            <w:szCs w:val="24"/>
            <w:lang w:val="en-GB"/>
          </w:rPr>
          <w:t>Directors’ report on operations of the Company in year 201</w:t>
        </w:r>
      </w:hyperlink>
      <w:r w:rsidRPr="00732C03">
        <w:rPr>
          <w:sz w:val="24"/>
          <w:szCs w:val="24"/>
          <w:lang w:val="en-GB"/>
        </w:rPr>
        <w:t>3.</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Adoption of resolution on approval of Financial Statements of TOYA S.A. for financial year 2013.</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Adoption of resolution on appropriation of net profit and payment of dividend for financial year 2013.</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 xml:space="preserve">Adoption of resolution on approval of Consolidated Financial Statements of TOYA S.A. Group for financial year. </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 xml:space="preserve">Adoption of resolution approval of the </w:t>
      </w:r>
      <w:hyperlink r:id="rId7" w:tgtFrame="_blank" w:history="1">
        <w:r w:rsidRPr="00732C03">
          <w:rPr>
            <w:sz w:val="24"/>
            <w:szCs w:val="24"/>
            <w:lang w:val="en-GB"/>
          </w:rPr>
          <w:t>Directors’ report on operations of the Toya  S.A. Group in year 201</w:t>
        </w:r>
      </w:hyperlink>
      <w:r w:rsidRPr="00732C03">
        <w:rPr>
          <w:sz w:val="24"/>
          <w:szCs w:val="24"/>
          <w:lang w:val="en-GB"/>
        </w:rPr>
        <w:t>3.</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 xml:space="preserve">Adoption of resolutions on approval of the performance of duties of members of the Management Board in financial year 2013. </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 xml:space="preserve">Adoption of resolutions on approval of the performance of duties of members of the Supervisory Board in financial year 2013. </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 xml:space="preserve">Adoption of a resolution regarding number of Supervisory Board members </w:t>
      </w:r>
      <w:r w:rsidRPr="00732C03">
        <w:rPr>
          <w:sz w:val="24"/>
          <w:szCs w:val="24"/>
          <w:lang w:val="en-GB"/>
        </w:rPr>
        <w:br/>
        <w:t>for a new term.</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Adoption of resolution on the election of members of the Supervisory Board for a new term.</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Adoption of a resolution on the remuneration of the members of the Supervisory Board.</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Adoption of a resolution on amendments to the Articles of Association of TOYA S.A.</w:t>
      </w:r>
    </w:p>
    <w:p w:rsidR="005F5E53" w:rsidRPr="00732C03" w:rsidRDefault="005F5E53" w:rsidP="005F5E53">
      <w:pPr>
        <w:pStyle w:val="Akapitzlist"/>
        <w:numPr>
          <w:ilvl w:val="0"/>
          <w:numId w:val="1"/>
        </w:numPr>
        <w:jc w:val="both"/>
        <w:rPr>
          <w:sz w:val="24"/>
          <w:szCs w:val="24"/>
          <w:lang w:val="en-GB"/>
        </w:rPr>
      </w:pPr>
      <w:r w:rsidRPr="00732C03">
        <w:rPr>
          <w:sz w:val="24"/>
          <w:szCs w:val="24"/>
          <w:lang w:val="en-GB"/>
        </w:rPr>
        <w:t xml:space="preserve">Closing of the General Meeting. </w:t>
      </w:r>
    </w:p>
    <w:p w:rsidR="003E3A7D" w:rsidRPr="005F5E53" w:rsidRDefault="004209E4">
      <w:pPr>
        <w:rPr>
          <w:rFonts w:asciiTheme="minorHAnsi" w:hAnsiTheme="minorHAnsi"/>
          <w:lang w:val="en-GB"/>
        </w:rPr>
      </w:pPr>
    </w:p>
    <w:sectPr w:rsidR="003E3A7D" w:rsidRPr="005F5E53" w:rsidSect="00F55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63203"/>
    <w:multiLevelType w:val="hybridMultilevel"/>
    <w:tmpl w:val="01EC0B12"/>
    <w:lvl w:ilvl="0" w:tplc="0670720A">
      <w:start w:val="1"/>
      <w:numFmt w:val="decimal"/>
      <w:lvlText w:val="%1)"/>
      <w:lvlJc w:val="left"/>
      <w:pPr>
        <w:ind w:left="720" w:hanging="360"/>
      </w:pPr>
      <w:rPr>
        <w:rFonts w:ascii="Garamond" w:eastAsia="Calibri" w:hAnsi="Garamond"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B9"/>
    <w:rsid w:val="00161B86"/>
    <w:rsid w:val="001D7CDF"/>
    <w:rsid w:val="002227D3"/>
    <w:rsid w:val="002370D9"/>
    <w:rsid w:val="002F1569"/>
    <w:rsid w:val="00415447"/>
    <w:rsid w:val="004209E4"/>
    <w:rsid w:val="005F5E53"/>
    <w:rsid w:val="00841627"/>
    <w:rsid w:val="008C549E"/>
    <w:rsid w:val="00A968F9"/>
    <w:rsid w:val="00E66AB9"/>
    <w:rsid w:val="00F55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AB9"/>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6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66AB9"/>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66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ato.pl/wp-content/uploads/2011/11/Directors_report_on_operations_of_TOYA_201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ato.pl/wp-content/uploads/2011/11/Directors_report_on_operations_of_TOYA_201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338</Words>
  <Characters>2031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Toya</Company>
  <LinksUpToDate>false</LinksUpToDate>
  <CharactersWithSpaces>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Banik</dc:creator>
  <cp:lastModifiedBy>Iwona Banik</cp:lastModifiedBy>
  <cp:revision>5</cp:revision>
  <dcterms:created xsi:type="dcterms:W3CDTF">2014-05-28T08:42:00Z</dcterms:created>
  <dcterms:modified xsi:type="dcterms:W3CDTF">2014-05-28T13:44:00Z</dcterms:modified>
</cp:coreProperties>
</file>